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72100" w14:textId="77777777" w:rsidR="00434D9D" w:rsidRDefault="00434D9D">
      <w:pPr>
        <w:jc w:val="center"/>
        <w:rPr>
          <w:rFonts w:ascii="Times New Roman" w:hAnsi="Times New Roman" w:cs="Times New Roman"/>
          <w:b/>
          <w:sz w:val="24"/>
          <w:szCs w:val="24"/>
        </w:rPr>
      </w:pPr>
      <w:bookmarkStart w:id="0" w:name="_GoBack"/>
      <w:bookmarkEnd w:id="0"/>
    </w:p>
    <w:p w14:paraId="1B89E261" w14:textId="77777777" w:rsidR="009B1605" w:rsidRPr="00434D9D" w:rsidRDefault="00434D9D">
      <w:pPr>
        <w:jc w:val="center"/>
        <w:rPr>
          <w:rFonts w:ascii="Times New Roman" w:hAnsi="Times New Roman" w:cs="Times New Roman"/>
          <w:b/>
          <w:sz w:val="24"/>
          <w:szCs w:val="24"/>
        </w:rPr>
      </w:pPr>
      <w:r>
        <w:rPr>
          <w:rFonts w:ascii="Times New Roman" w:hAnsi="Times New Roman" w:cs="Times New Roman"/>
          <w:b/>
          <w:sz w:val="24"/>
          <w:szCs w:val="24"/>
        </w:rPr>
        <w:t>Testimony i</w:t>
      </w:r>
      <w:r w:rsidR="001675E1" w:rsidRPr="00434D9D">
        <w:rPr>
          <w:rFonts w:ascii="Times New Roman" w:hAnsi="Times New Roman" w:cs="Times New Roman"/>
          <w:b/>
          <w:sz w:val="24"/>
          <w:szCs w:val="24"/>
        </w:rPr>
        <w:t>n Opposition to S.B. 220</w:t>
      </w:r>
    </w:p>
    <w:p w14:paraId="13BE73DD" w14:textId="77777777" w:rsidR="009B1605" w:rsidRPr="00434D9D" w:rsidRDefault="001675E1">
      <w:pPr>
        <w:jc w:val="center"/>
        <w:rPr>
          <w:rFonts w:ascii="Times New Roman" w:hAnsi="Times New Roman" w:cs="Times New Roman"/>
          <w:sz w:val="24"/>
          <w:szCs w:val="24"/>
        </w:rPr>
      </w:pPr>
      <w:r w:rsidRPr="00434D9D">
        <w:rPr>
          <w:rFonts w:ascii="Times New Roman" w:hAnsi="Times New Roman" w:cs="Times New Roman"/>
          <w:sz w:val="24"/>
          <w:szCs w:val="24"/>
        </w:rPr>
        <w:t>By Mark Abramowitz on behalf of Amy E. Keller, DiCello Levitt &amp; Casey LLC</w:t>
      </w:r>
    </w:p>
    <w:p w14:paraId="0C6FA9D9" w14:textId="77777777" w:rsidR="009B1605" w:rsidRPr="00434D9D" w:rsidRDefault="001675E1">
      <w:pPr>
        <w:jc w:val="center"/>
        <w:rPr>
          <w:rFonts w:ascii="Times New Roman" w:hAnsi="Times New Roman" w:cs="Times New Roman"/>
          <w:sz w:val="24"/>
          <w:szCs w:val="24"/>
        </w:rPr>
      </w:pPr>
      <w:r w:rsidRPr="00434D9D">
        <w:rPr>
          <w:rFonts w:ascii="Times New Roman" w:hAnsi="Times New Roman" w:cs="Times New Roman"/>
          <w:sz w:val="24"/>
          <w:szCs w:val="24"/>
        </w:rPr>
        <w:t xml:space="preserve">Co-Lead Counsel in </w:t>
      </w:r>
      <w:r w:rsidRPr="00434D9D">
        <w:rPr>
          <w:rFonts w:ascii="Times New Roman" w:hAnsi="Times New Roman" w:cs="Times New Roman"/>
          <w:i/>
          <w:sz w:val="24"/>
          <w:szCs w:val="24"/>
        </w:rPr>
        <w:t>In re Equifax, Inc. Customer Data Security Breach Litigation</w:t>
      </w:r>
      <w:r w:rsidR="005A2B2E">
        <w:rPr>
          <w:rFonts w:ascii="Times New Roman" w:hAnsi="Times New Roman" w:cs="Times New Roman"/>
          <w:sz w:val="24"/>
          <w:szCs w:val="24"/>
        </w:rPr>
        <w:t>,</w:t>
      </w:r>
      <w:r w:rsidR="005A2B2E">
        <w:rPr>
          <w:rFonts w:ascii="Times New Roman" w:hAnsi="Times New Roman" w:cs="Times New Roman"/>
          <w:sz w:val="24"/>
          <w:szCs w:val="24"/>
        </w:rPr>
        <w:br/>
      </w:r>
      <w:r w:rsidRPr="00434D9D">
        <w:rPr>
          <w:rFonts w:ascii="Times New Roman" w:hAnsi="Times New Roman" w:cs="Times New Roman"/>
          <w:sz w:val="24"/>
          <w:szCs w:val="24"/>
        </w:rPr>
        <w:t>No. 17-md-02800 (N.D. Ga.)</w:t>
      </w:r>
    </w:p>
    <w:p w14:paraId="32D3A507" w14:textId="77777777" w:rsidR="009B1605" w:rsidRPr="00434D9D" w:rsidRDefault="009B1605">
      <w:pPr>
        <w:jc w:val="center"/>
        <w:rPr>
          <w:rFonts w:ascii="Times New Roman" w:hAnsi="Times New Roman" w:cs="Times New Roman"/>
          <w:sz w:val="24"/>
          <w:szCs w:val="24"/>
        </w:rPr>
      </w:pPr>
    </w:p>
    <w:p w14:paraId="7C6EC40C" w14:textId="3767B5CC" w:rsidR="009B1605" w:rsidRPr="00434D9D" w:rsidRDefault="004208D2">
      <w:pPr>
        <w:jc w:val="center"/>
        <w:rPr>
          <w:rFonts w:ascii="Times New Roman" w:hAnsi="Times New Roman" w:cs="Times New Roman"/>
          <w:sz w:val="24"/>
          <w:szCs w:val="24"/>
        </w:rPr>
      </w:pPr>
      <w:r w:rsidRPr="004208D2">
        <w:rPr>
          <w:rFonts w:ascii="Times New Roman" w:hAnsi="Times New Roman" w:cs="Times New Roman"/>
          <w:sz w:val="24"/>
          <w:szCs w:val="24"/>
        </w:rPr>
        <w:t>Before the House Government Accountability &amp; Oversight Committee</w:t>
      </w:r>
    </w:p>
    <w:p w14:paraId="4063FDA4" w14:textId="2FD60503" w:rsidR="009B1605" w:rsidRPr="00434D9D" w:rsidRDefault="00812B7E">
      <w:pPr>
        <w:jc w:val="center"/>
        <w:rPr>
          <w:rFonts w:ascii="Times New Roman" w:hAnsi="Times New Roman" w:cs="Times New Roman"/>
          <w:sz w:val="24"/>
          <w:szCs w:val="24"/>
        </w:rPr>
      </w:pPr>
      <w:r>
        <w:rPr>
          <w:rFonts w:ascii="Times New Roman" w:hAnsi="Times New Roman" w:cs="Times New Roman"/>
          <w:sz w:val="24"/>
          <w:szCs w:val="24"/>
        </w:rPr>
        <w:t>June 2</w:t>
      </w:r>
      <w:r w:rsidR="00B22AFC">
        <w:rPr>
          <w:rFonts w:ascii="Times New Roman" w:hAnsi="Times New Roman" w:cs="Times New Roman"/>
          <w:sz w:val="24"/>
          <w:szCs w:val="24"/>
        </w:rPr>
        <w:t>6</w:t>
      </w:r>
      <w:r w:rsidR="001104BA">
        <w:rPr>
          <w:rFonts w:ascii="Times New Roman" w:hAnsi="Times New Roman" w:cs="Times New Roman"/>
          <w:sz w:val="24"/>
          <w:szCs w:val="24"/>
        </w:rPr>
        <w:t xml:space="preserve">, </w:t>
      </w:r>
      <w:r w:rsidR="001675E1" w:rsidRPr="00434D9D">
        <w:rPr>
          <w:rFonts w:ascii="Times New Roman" w:hAnsi="Times New Roman" w:cs="Times New Roman"/>
          <w:sz w:val="24"/>
          <w:szCs w:val="24"/>
        </w:rPr>
        <w:t>2018</w:t>
      </w:r>
    </w:p>
    <w:p w14:paraId="57064B07" w14:textId="77777777" w:rsidR="009B1605" w:rsidRPr="00434D9D" w:rsidRDefault="001675E1">
      <w:pPr>
        <w:rPr>
          <w:rFonts w:ascii="Times New Roman" w:hAnsi="Times New Roman" w:cs="Times New Roman"/>
          <w:sz w:val="24"/>
          <w:szCs w:val="24"/>
        </w:rPr>
      </w:pPr>
      <w:r w:rsidRPr="00434D9D">
        <w:rPr>
          <w:rFonts w:ascii="Times New Roman" w:hAnsi="Times New Roman" w:cs="Times New Roman"/>
          <w:sz w:val="24"/>
          <w:szCs w:val="24"/>
        </w:rPr>
        <w:t xml:space="preserve"> </w:t>
      </w:r>
    </w:p>
    <w:p w14:paraId="27792C34" w14:textId="59517711" w:rsidR="009B1605" w:rsidRPr="00434D9D" w:rsidRDefault="004208D2">
      <w:pPr>
        <w:rPr>
          <w:rFonts w:ascii="Times New Roman" w:hAnsi="Times New Roman" w:cs="Times New Roman"/>
          <w:sz w:val="24"/>
          <w:szCs w:val="24"/>
        </w:rPr>
      </w:pPr>
      <w:r w:rsidRPr="004208D2">
        <w:rPr>
          <w:rFonts w:ascii="Times New Roman" w:hAnsi="Times New Roman" w:cs="Times New Roman"/>
          <w:sz w:val="24"/>
          <w:szCs w:val="24"/>
        </w:rPr>
        <w:t>Chair Blessing, Vice Chair Reineke, Ranking Member Clyde and Members</w:t>
      </w:r>
      <w:r>
        <w:rPr>
          <w:rFonts w:ascii="Times New Roman" w:hAnsi="Times New Roman" w:cs="Times New Roman"/>
          <w:sz w:val="24"/>
          <w:szCs w:val="24"/>
        </w:rPr>
        <w:t>,</w:t>
      </w:r>
    </w:p>
    <w:p w14:paraId="6EA18681" w14:textId="77777777" w:rsidR="009B1605" w:rsidRPr="00434D9D" w:rsidRDefault="001675E1">
      <w:pPr>
        <w:rPr>
          <w:rFonts w:ascii="Times New Roman" w:hAnsi="Times New Roman" w:cs="Times New Roman"/>
          <w:sz w:val="24"/>
          <w:szCs w:val="24"/>
        </w:rPr>
      </w:pPr>
      <w:r w:rsidRPr="00434D9D">
        <w:rPr>
          <w:rFonts w:ascii="Times New Roman" w:hAnsi="Times New Roman" w:cs="Times New Roman"/>
          <w:sz w:val="24"/>
          <w:szCs w:val="24"/>
        </w:rPr>
        <w:t xml:space="preserve"> </w:t>
      </w:r>
    </w:p>
    <w:p w14:paraId="45B1E4DF" w14:textId="77777777" w:rsidR="009B1605" w:rsidRPr="00434D9D" w:rsidRDefault="001675E1">
      <w:pPr>
        <w:rPr>
          <w:rFonts w:ascii="Times New Roman" w:hAnsi="Times New Roman" w:cs="Times New Roman"/>
          <w:sz w:val="24"/>
          <w:szCs w:val="24"/>
        </w:rPr>
      </w:pPr>
      <w:r w:rsidRPr="00434D9D">
        <w:rPr>
          <w:rFonts w:ascii="Times New Roman" w:hAnsi="Times New Roman" w:cs="Times New Roman"/>
          <w:sz w:val="24"/>
          <w:szCs w:val="24"/>
        </w:rPr>
        <w:t xml:space="preserve">DiCello Levitt &amp; Casey is a law firm with deep roots in the State of Ohio.  Indeed, members of our firm, and our predecessor firm, have helped consumers, patients, individuals, and small businesses in this State for nearly 50 years.  </w:t>
      </w:r>
    </w:p>
    <w:p w14:paraId="54A608F7" w14:textId="77777777" w:rsidR="009B1605" w:rsidRPr="00434D9D" w:rsidRDefault="009B1605">
      <w:pPr>
        <w:rPr>
          <w:rFonts w:ascii="Times New Roman" w:hAnsi="Times New Roman" w:cs="Times New Roman"/>
          <w:sz w:val="24"/>
          <w:szCs w:val="24"/>
        </w:rPr>
      </w:pPr>
    </w:p>
    <w:p w14:paraId="00B2D04A" w14:textId="77A6358D" w:rsidR="009B1605" w:rsidRPr="00434D9D" w:rsidRDefault="001675E1">
      <w:pPr>
        <w:rPr>
          <w:rFonts w:ascii="Times New Roman" w:hAnsi="Times New Roman" w:cs="Times New Roman"/>
          <w:sz w:val="24"/>
          <w:szCs w:val="24"/>
        </w:rPr>
      </w:pPr>
      <w:r w:rsidRPr="00434D9D">
        <w:rPr>
          <w:rFonts w:ascii="Times New Roman" w:hAnsi="Times New Roman" w:cs="Times New Roman"/>
          <w:sz w:val="24"/>
          <w:szCs w:val="24"/>
        </w:rPr>
        <w:t xml:space="preserve">Of note and of importance to this hearing, Amy E. Keller, one of the firm’s partners, </w:t>
      </w:r>
      <w:r w:rsidR="00B21CE9">
        <w:rPr>
          <w:rFonts w:ascii="Times New Roman" w:hAnsi="Times New Roman" w:cs="Times New Roman"/>
          <w:sz w:val="24"/>
          <w:szCs w:val="24"/>
        </w:rPr>
        <w:t>was</w:t>
      </w:r>
      <w:r w:rsidRPr="00434D9D">
        <w:rPr>
          <w:rFonts w:ascii="Times New Roman" w:hAnsi="Times New Roman" w:cs="Times New Roman"/>
          <w:sz w:val="24"/>
          <w:szCs w:val="24"/>
        </w:rPr>
        <w:t xml:space="preserve"> appointed</w:t>
      </w:r>
      <w:r w:rsidR="00B21CE9">
        <w:rPr>
          <w:rFonts w:ascii="Times New Roman" w:hAnsi="Times New Roman" w:cs="Times New Roman"/>
          <w:sz w:val="24"/>
          <w:szCs w:val="24"/>
        </w:rPr>
        <w:t>—and is currently serving—</w:t>
      </w:r>
      <w:r w:rsidRPr="00434D9D">
        <w:rPr>
          <w:rFonts w:ascii="Times New Roman" w:hAnsi="Times New Roman" w:cs="Times New Roman"/>
          <w:sz w:val="24"/>
          <w:szCs w:val="24"/>
        </w:rPr>
        <w:t>as co-lead counsel by federal Judge Thomas Thrash in the Northern District of Georgia to lead the litigation against Equifax for its 2017 data breach, which compromised the sensitive information of close to 148 million people and small businesses, including individuals from th</w:t>
      </w:r>
      <w:r w:rsidR="00B21CE9">
        <w:rPr>
          <w:rFonts w:ascii="Times New Roman" w:hAnsi="Times New Roman" w:cs="Times New Roman"/>
          <w:sz w:val="24"/>
          <w:szCs w:val="24"/>
        </w:rPr>
        <w:t>e</w:t>
      </w:r>
      <w:r w:rsidRPr="00434D9D">
        <w:rPr>
          <w:rFonts w:ascii="Times New Roman" w:hAnsi="Times New Roman" w:cs="Times New Roman"/>
          <w:sz w:val="24"/>
          <w:szCs w:val="24"/>
        </w:rPr>
        <w:t xml:space="preserve"> State</w:t>
      </w:r>
      <w:r w:rsidR="00B21CE9">
        <w:rPr>
          <w:rFonts w:ascii="Times New Roman" w:hAnsi="Times New Roman" w:cs="Times New Roman"/>
          <w:sz w:val="24"/>
          <w:szCs w:val="24"/>
        </w:rPr>
        <w:t xml:space="preserve"> of Ohio</w:t>
      </w:r>
      <w:r w:rsidRPr="00434D9D">
        <w:rPr>
          <w:rFonts w:ascii="Times New Roman" w:hAnsi="Times New Roman" w:cs="Times New Roman"/>
          <w:sz w:val="24"/>
          <w:szCs w:val="24"/>
        </w:rPr>
        <w:t>.</w:t>
      </w:r>
    </w:p>
    <w:p w14:paraId="66ED5137" w14:textId="77777777" w:rsidR="009B1605" w:rsidRPr="00434D9D" w:rsidRDefault="009B1605">
      <w:pPr>
        <w:rPr>
          <w:rFonts w:ascii="Times New Roman" w:hAnsi="Times New Roman" w:cs="Times New Roman"/>
          <w:sz w:val="24"/>
          <w:szCs w:val="24"/>
        </w:rPr>
      </w:pPr>
    </w:p>
    <w:p w14:paraId="39519CE0" w14:textId="3C2A479A" w:rsidR="009B1605" w:rsidRPr="00434D9D" w:rsidRDefault="001675E1">
      <w:pPr>
        <w:rPr>
          <w:rFonts w:ascii="Times New Roman" w:hAnsi="Times New Roman" w:cs="Times New Roman"/>
          <w:sz w:val="24"/>
          <w:szCs w:val="24"/>
        </w:rPr>
      </w:pPr>
      <w:r w:rsidRPr="00434D9D">
        <w:rPr>
          <w:rFonts w:ascii="Times New Roman" w:hAnsi="Times New Roman" w:cs="Times New Roman"/>
          <w:sz w:val="24"/>
          <w:szCs w:val="24"/>
        </w:rPr>
        <w:t xml:space="preserve">Although our firm primarily stands up for the rights of consumers </w:t>
      </w:r>
      <w:r w:rsidR="00B21CE9">
        <w:rPr>
          <w:rFonts w:ascii="Times New Roman" w:hAnsi="Times New Roman" w:cs="Times New Roman"/>
          <w:sz w:val="24"/>
          <w:szCs w:val="24"/>
        </w:rPr>
        <w:t xml:space="preserve">through </w:t>
      </w:r>
      <w:r w:rsidRPr="00434D9D">
        <w:rPr>
          <w:rFonts w:ascii="Times New Roman" w:hAnsi="Times New Roman" w:cs="Times New Roman"/>
          <w:sz w:val="24"/>
          <w:szCs w:val="24"/>
        </w:rPr>
        <w:t xml:space="preserve">the court system, we have also been retained by companies to investigate creative ways to limit their exposure, and we routinely represent small businesses with claims against large, corporate entities.  Our firm has also been hired by various state </w:t>
      </w:r>
      <w:r w:rsidR="00B21CE9">
        <w:rPr>
          <w:rFonts w:ascii="Times New Roman" w:hAnsi="Times New Roman" w:cs="Times New Roman"/>
          <w:sz w:val="24"/>
          <w:szCs w:val="24"/>
        </w:rPr>
        <w:t>A</w:t>
      </w:r>
      <w:r w:rsidRPr="00434D9D">
        <w:rPr>
          <w:rFonts w:ascii="Times New Roman" w:hAnsi="Times New Roman" w:cs="Times New Roman"/>
          <w:sz w:val="24"/>
          <w:szCs w:val="24"/>
        </w:rPr>
        <w:t xml:space="preserve">ttorneys </w:t>
      </w:r>
      <w:r w:rsidR="00B21CE9">
        <w:rPr>
          <w:rFonts w:ascii="Times New Roman" w:hAnsi="Times New Roman" w:cs="Times New Roman"/>
          <w:sz w:val="24"/>
          <w:szCs w:val="24"/>
        </w:rPr>
        <w:t>G</w:t>
      </w:r>
      <w:r w:rsidRPr="00434D9D">
        <w:rPr>
          <w:rFonts w:ascii="Times New Roman" w:hAnsi="Times New Roman" w:cs="Times New Roman"/>
          <w:sz w:val="24"/>
          <w:szCs w:val="24"/>
        </w:rPr>
        <w:t xml:space="preserve">eneral to investigate </w:t>
      </w:r>
      <w:r w:rsidR="00B21CE9">
        <w:rPr>
          <w:rFonts w:ascii="Times New Roman" w:hAnsi="Times New Roman" w:cs="Times New Roman"/>
          <w:sz w:val="24"/>
          <w:szCs w:val="24"/>
        </w:rPr>
        <w:t xml:space="preserve">and prosecute </w:t>
      </w:r>
      <w:r w:rsidRPr="00434D9D">
        <w:rPr>
          <w:rFonts w:ascii="Times New Roman" w:hAnsi="Times New Roman" w:cs="Times New Roman"/>
          <w:sz w:val="24"/>
          <w:szCs w:val="24"/>
        </w:rPr>
        <w:t xml:space="preserve">consumer complaints, and </w:t>
      </w:r>
      <w:r w:rsidR="00B21CE9">
        <w:rPr>
          <w:rFonts w:ascii="Times New Roman" w:hAnsi="Times New Roman" w:cs="Times New Roman"/>
          <w:sz w:val="24"/>
          <w:szCs w:val="24"/>
        </w:rPr>
        <w:t xml:space="preserve">to </w:t>
      </w:r>
      <w:r w:rsidRPr="00434D9D">
        <w:rPr>
          <w:rFonts w:ascii="Times New Roman" w:hAnsi="Times New Roman" w:cs="Times New Roman"/>
          <w:sz w:val="24"/>
          <w:szCs w:val="24"/>
        </w:rPr>
        <w:t>obtain settlements or judgments against individuals and corporations who violate the law.</w:t>
      </w:r>
    </w:p>
    <w:p w14:paraId="0AFBFFEA" w14:textId="0511FC31" w:rsidR="009B1605" w:rsidRPr="00434D9D" w:rsidRDefault="001675E1">
      <w:pPr>
        <w:rPr>
          <w:rFonts w:ascii="Times New Roman" w:hAnsi="Times New Roman" w:cs="Times New Roman"/>
          <w:sz w:val="24"/>
          <w:szCs w:val="24"/>
        </w:rPr>
      </w:pPr>
      <w:r w:rsidRPr="00434D9D">
        <w:rPr>
          <w:rFonts w:ascii="Times New Roman" w:hAnsi="Times New Roman" w:cs="Times New Roman"/>
          <w:sz w:val="24"/>
          <w:szCs w:val="24"/>
        </w:rPr>
        <w:br/>
        <w:t>Our objective is not to prevent this Committee from protecting the rights of both consumers and businesses, but</w:t>
      </w:r>
      <w:r w:rsidR="00B21CE9">
        <w:rPr>
          <w:rFonts w:ascii="Times New Roman" w:hAnsi="Times New Roman" w:cs="Times New Roman"/>
          <w:sz w:val="24"/>
          <w:szCs w:val="24"/>
        </w:rPr>
        <w:t>,</w:t>
      </w:r>
      <w:r w:rsidRPr="00434D9D">
        <w:rPr>
          <w:rFonts w:ascii="Times New Roman" w:hAnsi="Times New Roman" w:cs="Times New Roman"/>
          <w:sz w:val="24"/>
          <w:szCs w:val="24"/>
        </w:rPr>
        <w:t xml:space="preserve"> rather</w:t>
      </w:r>
      <w:r w:rsidR="00B21CE9">
        <w:rPr>
          <w:rFonts w:ascii="Times New Roman" w:hAnsi="Times New Roman" w:cs="Times New Roman"/>
          <w:sz w:val="24"/>
          <w:szCs w:val="24"/>
        </w:rPr>
        <w:t xml:space="preserve">, </w:t>
      </w:r>
      <w:r w:rsidRPr="00434D9D">
        <w:rPr>
          <w:rFonts w:ascii="Times New Roman" w:hAnsi="Times New Roman" w:cs="Times New Roman"/>
          <w:sz w:val="24"/>
          <w:szCs w:val="24"/>
        </w:rPr>
        <w:t xml:space="preserve">to work with this Committee to find a </w:t>
      </w:r>
      <w:r w:rsidR="00B21CE9">
        <w:rPr>
          <w:rFonts w:ascii="Times New Roman" w:hAnsi="Times New Roman" w:cs="Times New Roman"/>
          <w:sz w:val="24"/>
          <w:szCs w:val="24"/>
        </w:rPr>
        <w:t>path that satisfies both of those goals</w:t>
      </w:r>
      <w:r w:rsidRPr="00434D9D">
        <w:rPr>
          <w:rFonts w:ascii="Times New Roman" w:hAnsi="Times New Roman" w:cs="Times New Roman"/>
          <w:sz w:val="24"/>
          <w:szCs w:val="24"/>
        </w:rPr>
        <w:t xml:space="preserve">. </w:t>
      </w:r>
      <w:r w:rsidR="00B21CE9">
        <w:rPr>
          <w:rFonts w:ascii="Times New Roman" w:hAnsi="Times New Roman" w:cs="Times New Roman"/>
          <w:sz w:val="24"/>
          <w:szCs w:val="24"/>
        </w:rPr>
        <w:t xml:space="preserve">We do not believe, however, </w:t>
      </w:r>
      <w:r w:rsidRPr="00434D9D">
        <w:rPr>
          <w:rFonts w:ascii="Times New Roman" w:hAnsi="Times New Roman" w:cs="Times New Roman"/>
          <w:sz w:val="24"/>
          <w:szCs w:val="24"/>
        </w:rPr>
        <w:t>that this Bill, S.B. 220</w:t>
      </w:r>
      <w:r w:rsidR="00B21CE9">
        <w:rPr>
          <w:rFonts w:ascii="Times New Roman" w:hAnsi="Times New Roman" w:cs="Times New Roman"/>
          <w:sz w:val="24"/>
          <w:szCs w:val="24"/>
        </w:rPr>
        <w:t>,</w:t>
      </w:r>
      <w:r w:rsidRPr="00434D9D">
        <w:rPr>
          <w:rFonts w:ascii="Times New Roman" w:hAnsi="Times New Roman" w:cs="Times New Roman"/>
          <w:sz w:val="24"/>
          <w:szCs w:val="24"/>
        </w:rPr>
        <w:t xml:space="preserve"> will have that desired effect.</w:t>
      </w:r>
      <w:r w:rsidR="009C76A1">
        <w:rPr>
          <w:rFonts w:ascii="Times New Roman" w:hAnsi="Times New Roman" w:cs="Times New Roman"/>
          <w:sz w:val="24"/>
          <w:szCs w:val="24"/>
        </w:rPr>
        <w:t xml:space="preserve"> This is the same message that I presented on May 9 to the Senate</w:t>
      </w:r>
      <w:r w:rsidR="009C76A1" w:rsidRPr="009C76A1">
        <w:rPr>
          <w:rFonts w:ascii="Times New Roman" w:hAnsi="Times New Roman" w:cs="Times New Roman"/>
          <w:color w:val="000000"/>
        </w:rPr>
        <w:t xml:space="preserve"> </w:t>
      </w:r>
      <w:r w:rsidR="009C76A1">
        <w:rPr>
          <w:rFonts w:ascii="Times New Roman" w:hAnsi="Times New Roman" w:cs="Times New Roman"/>
          <w:color w:val="000000"/>
        </w:rPr>
        <w:t>Government Oversight &amp; Reform Committee and Chairman Coley.</w:t>
      </w:r>
    </w:p>
    <w:p w14:paraId="009572E0" w14:textId="77777777" w:rsidR="009B1605" w:rsidRPr="00434D9D" w:rsidRDefault="009B1605">
      <w:pPr>
        <w:rPr>
          <w:rFonts w:ascii="Times New Roman" w:hAnsi="Times New Roman" w:cs="Times New Roman"/>
          <w:sz w:val="24"/>
          <w:szCs w:val="24"/>
        </w:rPr>
      </w:pPr>
    </w:p>
    <w:p w14:paraId="0064BE11" w14:textId="784E13D8" w:rsidR="009B1605" w:rsidRPr="00434D9D" w:rsidRDefault="001675E1">
      <w:pPr>
        <w:rPr>
          <w:rFonts w:ascii="Times New Roman" w:hAnsi="Times New Roman" w:cs="Times New Roman"/>
          <w:sz w:val="24"/>
          <w:szCs w:val="24"/>
        </w:rPr>
      </w:pPr>
      <w:r w:rsidRPr="00434D9D">
        <w:rPr>
          <w:rFonts w:ascii="Times New Roman" w:hAnsi="Times New Roman" w:cs="Times New Roman"/>
          <w:sz w:val="24"/>
          <w:szCs w:val="24"/>
        </w:rPr>
        <w:t>S.B. 220 would not reduce the impact of a data breach, nor likely the</w:t>
      </w:r>
      <w:r w:rsidR="00B21CE9">
        <w:rPr>
          <w:rFonts w:ascii="Times New Roman" w:hAnsi="Times New Roman" w:cs="Times New Roman"/>
          <w:sz w:val="24"/>
          <w:szCs w:val="24"/>
        </w:rPr>
        <w:t>ir</w:t>
      </w:r>
      <w:r w:rsidRPr="00434D9D">
        <w:rPr>
          <w:rFonts w:ascii="Times New Roman" w:hAnsi="Times New Roman" w:cs="Times New Roman"/>
          <w:sz w:val="24"/>
          <w:szCs w:val="24"/>
        </w:rPr>
        <w:t xml:space="preserve"> frequency. While companies will certainly look to the various minimum standards th</w:t>
      </w:r>
      <w:r w:rsidR="00B21CE9">
        <w:rPr>
          <w:rFonts w:ascii="Times New Roman" w:hAnsi="Times New Roman" w:cs="Times New Roman"/>
          <w:sz w:val="24"/>
          <w:szCs w:val="24"/>
        </w:rPr>
        <w:t>at S.B. 220</w:t>
      </w:r>
      <w:r w:rsidRPr="00434D9D">
        <w:rPr>
          <w:rFonts w:ascii="Times New Roman" w:hAnsi="Times New Roman" w:cs="Times New Roman"/>
          <w:sz w:val="24"/>
          <w:szCs w:val="24"/>
        </w:rPr>
        <w:t>, following these voluminous standards</w:t>
      </w:r>
      <w:r w:rsidR="00B21CE9">
        <w:rPr>
          <w:rFonts w:ascii="Times New Roman" w:hAnsi="Times New Roman" w:cs="Times New Roman"/>
          <w:sz w:val="24"/>
          <w:szCs w:val="24"/>
        </w:rPr>
        <w:t>—</w:t>
      </w:r>
      <w:r w:rsidRPr="00434D9D">
        <w:rPr>
          <w:rFonts w:ascii="Times New Roman" w:hAnsi="Times New Roman" w:cs="Times New Roman"/>
          <w:sz w:val="24"/>
          <w:szCs w:val="24"/>
        </w:rPr>
        <w:t>indeed, some more than hundreds of pages long</w:t>
      </w:r>
      <w:r w:rsidR="00B21CE9">
        <w:rPr>
          <w:rFonts w:ascii="Times New Roman" w:hAnsi="Times New Roman" w:cs="Times New Roman"/>
          <w:sz w:val="24"/>
          <w:szCs w:val="24"/>
        </w:rPr>
        <w:t>—</w:t>
      </w:r>
      <w:r w:rsidRPr="00434D9D">
        <w:rPr>
          <w:rFonts w:ascii="Times New Roman" w:hAnsi="Times New Roman" w:cs="Times New Roman"/>
          <w:sz w:val="24"/>
          <w:szCs w:val="24"/>
        </w:rPr>
        <w:t xml:space="preserve">will not make data breaches any less prevalent.  Rather, what </w:t>
      </w:r>
      <w:r w:rsidR="00B21CE9">
        <w:rPr>
          <w:rFonts w:ascii="Times New Roman" w:hAnsi="Times New Roman" w:cs="Times New Roman"/>
          <w:sz w:val="24"/>
          <w:szCs w:val="24"/>
        </w:rPr>
        <w:t xml:space="preserve">S.B. 220 </w:t>
      </w:r>
      <w:r w:rsidRPr="00434D9D">
        <w:rPr>
          <w:rFonts w:ascii="Times New Roman" w:hAnsi="Times New Roman" w:cs="Times New Roman"/>
          <w:i/>
          <w:sz w:val="24"/>
          <w:szCs w:val="24"/>
        </w:rPr>
        <w:t xml:space="preserve">will </w:t>
      </w:r>
      <w:r w:rsidRPr="00434D9D">
        <w:rPr>
          <w:rFonts w:ascii="Times New Roman" w:hAnsi="Times New Roman" w:cs="Times New Roman"/>
          <w:sz w:val="24"/>
          <w:szCs w:val="24"/>
        </w:rPr>
        <w:t xml:space="preserve">do is increase the cost of litigation, and </w:t>
      </w:r>
      <w:r w:rsidRPr="00434D9D">
        <w:rPr>
          <w:rFonts w:ascii="Times New Roman" w:hAnsi="Times New Roman" w:cs="Times New Roman"/>
          <w:sz w:val="24"/>
          <w:szCs w:val="24"/>
        </w:rPr>
        <w:lastRenderedPageBreak/>
        <w:t>ask federal and state court judges to become experts in data privacy and cryptology at the motion to dismiss stage of litigation.</w:t>
      </w:r>
      <w:r w:rsidR="00850C9C">
        <w:rPr>
          <w:rFonts w:ascii="Times New Roman" w:hAnsi="Times New Roman" w:cs="Times New Roman"/>
          <w:sz w:val="24"/>
          <w:szCs w:val="24"/>
        </w:rPr>
        <w:t xml:space="preserve">  Although </w:t>
      </w:r>
      <w:r w:rsidR="00B22AFC">
        <w:rPr>
          <w:rFonts w:ascii="Times New Roman" w:hAnsi="Times New Roman" w:cs="Times New Roman"/>
          <w:sz w:val="24"/>
          <w:szCs w:val="24"/>
        </w:rPr>
        <w:t xml:space="preserve">Attorney General DeWine stated in a letter dated May 16, 2018, that “[t]he ‘safe harbor’ is not automatic. . . [t]his is not a motion to dismiss issue, rather, it will be decided by the trier of fact at trial,” the Fiscal Note &amp; Local Impact Statement by Robert Meeker demonstrates that this is inaccurate: not only does the Bill serve to deter the filing of cases, but it allows trial court judges to “more promptly dispose of a case than it otherwise might have under current law.”  The Bill asks for trial court judges to become experts in data security and, to the extent a case actually gets filed, “promptly dispose” of it. </w:t>
      </w:r>
    </w:p>
    <w:p w14:paraId="33DC389E" w14:textId="77777777" w:rsidR="009B1605" w:rsidRPr="00434D9D" w:rsidRDefault="009B1605">
      <w:pPr>
        <w:rPr>
          <w:rFonts w:ascii="Times New Roman" w:hAnsi="Times New Roman" w:cs="Times New Roman"/>
          <w:sz w:val="24"/>
          <w:szCs w:val="24"/>
        </w:rPr>
      </w:pPr>
    </w:p>
    <w:p w14:paraId="2274CB58" w14:textId="6DE872E2" w:rsidR="009B1605" w:rsidRPr="00434D9D" w:rsidRDefault="00B22AFC">
      <w:pPr>
        <w:rPr>
          <w:rFonts w:ascii="Times New Roman" w:hAnsi="Times New Roman" w:cs="Times New Roman"/>
          <w:sz w:val="24"/>
          <w:szCs w:val="24"/>
        </w:rPr>
      </w:pPr>
      <w:r>
        <w:rPr>
          <w:rFonts w:ascii="Times New Roman" w:hAnsi="Times New Roman" w:cs="Times New Roman"/>
          <w:sz w:val="24"/>
          <w:szCs w:val="24"/>
        </w:rPr>
        <w:t>Unfortunately, the Bill does not guarantee that, by following certain criteria, data will be protected.  T</w:t>
      </w:r>
      <w:r w:rsidR="001675E1" w:rsidRPr="00434D9D">
        <w:rPr>
          <w:rFonts w:ascii="Times New Roman" w:hAnsi="Times New Roman" w:cs="Times New Roman"/>
          <w:sz w:val="24"/>
          <w:szCs w:val="24"/>
        </w:rPr>
        <w:t>his Committee need look no further than the Anthem data breach</w:t>
      </w:r>
      <w:r w:rsidR="00B21CE9">
        <w:rPr>
          <w:rFonts w:ascii="Times New Roman" w:hAnsi="Times New Roman" w:cs="Times New Roman"/>
          <w:sz w:val="24"/>
          <w:szCs w:val="24"/>
        </w:rPr>
        <w:t>,</w:t>
      </w:r>
      <w:r w:rsidR="001675E1" w:rsidRPr="00434D9D">
        <w:rPr>
          <w:rFonts w:ascii="Times New Roman" w:hAnsi="Times New Roman" w:cs="Times New Roman"/>
          <w:sz w:val="24"/>
          <w:szCs w:val="24"/>
        </w:rPr>
        <w:t xml:space="preserve"> announced on February 4, 2015, in which hackers broke into Anthem’s servers and stole the personally-identifiable information of 78.8 million people.  The information, which included names, birthdays, medical IDs, </w:t>
      </w:r>
      <w:r w:rsidR="00B21CE9">
        <w:rPr>
          <w:rFonts w:ascii="Times New Roman" w:hAnsi="Times New Roman" w:cs="Times New Roman"/>
          <w:sz w:val="24"/>
          <w:szCs w:val="24"/>
        </w:rPr>
        <w:t>S</w:t>
      </w:r>
      <w:r w:rsidR="001675E1" w:rsidRPr="00434D9D">
        <w:rPr>
          <w:rFonts w:ascii="Times New Roman" w:hAnsi="Times New Roman" w:cs="Times New Roman"/>
          <w:sz w:val="24"/>
          <w:szCs w:val="24"/>
        </w:rPr>
        <w:t xml:space="preserve">ocial </w:t>
      </w:r>
      <w:r w:rsidR="00B21CE9">
        <w:rPr>
          <w:rFonts w:ascii="Times New Roman" w:hAnsi="Times New Roman" w:cs="Times New Roman"/>
          <w:sz w:val="24"/>
          <w:szCs w:val="24"/>
        </w:rPr>
        <w:t>S</w:t>
      </w:r>
      <w:r w:rsidR="001675E1" w:rsidRPr="00434D9D">
        <w:rPr>
          <w:rFonts w:ascii="Times New Roman" w:hAnsi="Times New Roman" w:cs="Times New Roman"/>
          <w:sz w:val="24"/>
          <w:szCs w:val="24"/>
        </w:rPr>
        <w:t>ecurity numbers, street addresses, email addresses, employment information, and income data, was not encrypted</w:t>
      </w:r>
      <w:r w:rsidR="00B21CE9">
        <w:rPr>
          <w:rFonts w:ascii="Times New Roman" w:hAnsi="Times New Roman" w:cs="Times New Roman"/>
          <w:sz w:val="24"/>
          <w:szCs w:val="24"/>
        </w:rPr>
        <w:t>—</w:t>
      </w:r>
      <w:r w:rsidR="001675E1" w:rsidRPr="00434D9D">
        <w:rPr>
          <w:rFonts w:ascii="Times New Roman" w:hAnsi="Times New Roman" w:cs="Times New Roman"/>
          <w:sz w:val="24"/>
          <w:szCs w:val="24"/>
        </w:rPr>
        <w:t>nor was it</w:t>
      </w:r>
      <w:r w:rsidR="00B21CE9">
        <w:rPr>
          <w:rFonts w:ascii="Times New Roman" w:hAnsi="Times New Roman" w:cs="Times New Roman"/>
          <w:sz w:val="24"/>
          <w:szCs w:val="24"/>
        </w:rPr>
        <w:t>, at that point in time, legally required to be</w:t>
      </w:r>
      <w:r w:rsidR="001675E1" w:rsidRPr="00434D9D">
        <w:rPr>
          <w:rFonts w:ascii="Times New Roman" w:hAnsi="Times New Roman" w:cs="Times New Roman"/>
          <w:sz w:val="24"/>
          <w:szCs w:val="24"/>
        </w:rPr>
        <w:t>.  Anthem followed the minimum criteria promulgated by the Health Insurance Portability and Accountability Act</w:t>
      </w:r>
      <w:r w:rsidR="00B21CE9">
        <w:rPr>
          <w:rFonts w:ascii="Times New Roman" w:hAnsi="Times New Roman" w:cs="Times New Roman"/>
          <w:sz w:val="24"/>
          <w:szCs w:val="24"/>
        </w:rPr>
        <w:t xml:space="preserve"> (“HIPAA”)</w:t>
      </w:r>
      <w:r w:rsidR="001675E1" w:rsidRPr="00434D9D">
        <w:rPr>
          <w:rFonts w:ascii="Times New Roman" w:hAnsi="Times New Roman" w:cs="Times New Roman"/>
          <w:sz w:val="24"/>
          <w:szCs w:val="24"/>
        </w:rPr>
        <w:t xml:space="preserve">, which is one of the standards that the Committee has proposed could provide a company with safe harbor in its </w:t>
      </w:r>
      <w:r>
        <w:rPr>
          <w:rFonts w:ascii="Times New Roman" w:hAnsi="Times New Roman" w:cs="Times New Roman"/>
          <w:sz w:val="24"/>
          <w:szCs w:val="24"/>
        </w:rPr>
        <w:t>B</w:t>
      </w:r>
      <w:r w:rsidR="001675E1" w:rsidRPr="00434D9D">
        <w:rPr>
          <w:rFonts w:ascii="Times New Roman" w:hAnsi="Times New Roman" w:cs="Times New Roman"/>
          <w:sz w:val="24"/>
          <w:szCs w:val="24"/>
        </w:rPr>
        <w:t xml:space="preserve">ill.  </w:t>
      </w:r>
      <w:r w:rsidR="001675E1" w:rsidRPr="00DA7E15">
        <w:rPr>
          <w:rFonts w:ascii="Times New Roman" w:hAnsi="Times New Roman" w:cs="Times New Roman"/>
          <w:i/>
          <w:sz w:val="24"/>
          <w:szCs w:val="24"/>
        </w:rPr>
        <w:t>But HIPAA did not prevent the hack</w:t>
      </w:r>
      <w:r w:rsidR="001675E1" w:rsidRPr="00434D9D">
        <w:rPr>
          <w:rFonts w:ascii="Times New Roman" w:hAnsi="Times New Roman" w:cs="Times New Roman"/>
          <w:sz w:val="24"/>
          <w:szCs w:val="24"/>
        </w:rPr>
        <w:t xml:space="preserve">.  Indeed, many of the standards </w:t>
      </w:r>
      <w:r w:rsidR="00B21CE9">
        <w:rPr>
          <w:rFonts w:ascii="Times New Roman" w:hAnsi="Times New Roman" w:cs="Times New Roman"/>
          <w:sz w:val="24"/>
          <w:szCs w:val="24"/>
        </w:rPr>
        <w:t xml:space="preserve">that the Committee proposes here are </w:t>
      </w:r>
      <w:r w:rsidR="001675E1" w:rsidRPr="00434D9D">
        <w:rPr>
          <w:rFonts w:ascii="Times New Roman" w:hAnsi="Times New Roman" w:cs="Times New Roman"/>
          <w:sz w:val="24"/>
          <w:szCs w:val="24"/>
        </w:rPr>
        <w:t>minim</w:t>
      </w:r>
      <w:r w:rsidR="00B21CE9">
        <w:rPr>
          <w:rFonts w:ascii="Times New Roman" w:hAnsi="Times New Roman" w:cs="Times New Roman"/>
          <w:sz w:val="24"/>
          <w:szCs w:val="24"/>
        </w:rPr>
        <w:t>al</w:t>
      </w:r>
      <w:r w:rsidR="001675E1" w:rsidRPr="00434D9D">
        <w:rPr>
          <w:rFonts w:ascii="Times New Roman" w:hAnsi="Times New Roman" w:cs="Times New Roman"/>
          <w:sz w:val="24"/>
          <w:szCs w:val="24"/>
        </w:rPr>
        <w:t xml:space="preserve"> </w:t>
      </w:r>
      <w:r w:rsidR="00B21CE9">
        <w:rPr>
          <w:rFonts w:ascii="Times New Roman" w:hAnsi="Times New Roman" w:cs="Times New Roman"/>
          <w:sz w:val="24"/>
          <w:szCs w:val="24"/>
        </w:rPr>
        <w:t>“</w:t>
      </w:r>
      <w:r w:rsidR="001675E1" w:rsidRPr="00434D9D">
        <w:rPr>
          <w:rFonts w:ascii="Times New Roman" w:hAnsi="Times New Roman" w:cs="Times New Roman"/>
          <w:sz w:val="24"/>
          <w:szCs w:val="24"/>
        </w:rPr>
        <w:t>best practices</w:t>
      </w:r>
      <w:r w:rsidR="00B21CE9">
        <w:rPr>
          <w:rFonts w:ascii="Times New Roman" w:hAnsi="Times New Roman" w:cs="Times New Roman"/>
          <w:sz w:val="24"/>
          <w:szCs w:val="24"/>
        </w:rPr>
        <w:t>”</w:t>
      </w:r>
      <w:r w:rsidR="001675E1" w:rsidRPr="00434D9D">
        <w:rPr>
          <w:rFonts w:ascii="Times New Roman" w:hAnsi="Times New Roman" w:cs="Times New Roman"/>
          <w:sz w:val="24"/>
          <w:szCs w:val="24"/>
        </w:rPr>
        <w:t xml:space="preserve"> that w</w:t>
      </w:r>
      <w:r w:rsidR="00B21CE9">
        <w:rPr>
          <w:rFonts w:ascii="Times New Roman" w:hAnsi="Times New Roman" w:cs="Times New Roman"/>
          <w:sz w:val="24"/>
          <w:szCs w:val="24"/>
        </w:rPr>
        <w:t xml:space="preserve">ill not foster </w:t>
      </w:r>
      <w:r w:rsidR="001675E1" w:rsidRPr="00434D9D">
        <w:rPr>
          <w:rFonts w:ascii="Times New Roman" w:hAnsi="Times New Roman" w:cs="Times New Roman"/>
          <w:sz w:val="24"/>
          <w:szCs w:val="24"/>
        </w:rPr>
        <w:t xml:space="preserve">innovation or </w:t>
      </w:r>
      <w:r w:rsidR="00B21CE9">
        <w:rPr>
          <w:rFonts w:ascii="Times New Roman" w:hAnsi="Times New Roman" w:cs="Times New Roman"/>
          <w:sz w:val="24"/>
          <w:szCs w:val="24"/>
        </w:rPr>
        <w:t xml:space="preserve">incentivize companies to take </w:t>
      </w:r>
      <w:r w:rsidR="001675E1" w:rsidRPr="00434D9D">
        <w:rPr>
          <w:rFonts w:ascii="Times New Roman" w:hAnsi="Times New Roman" w:cs="Times New Roman"/>
          <w:sz w:val="24"/>
          <w:szCs w:val="24"/>
        </w:rPr>
        <w:t>proactive measures to protect individuals’ most sensitive data.</w:t>
      </w:r>
    </w:p>
    <w:p w14:paraId="75A9B70C" w14:textId="77777777" w:rsidR="009B1605" w:rsidRPr="00434D9D" w:rsidRDefault="009B1605">
      <w:pPr>
        <w:rPr>
          <w:rFonts w:ascii="Times New Roman" w:hAnsi="Times New Roman" w:cs="Times New Roman"/>
          <w:sz w:val="24"/>
          <w:szCs w:val="24"/>
        </w:rPr>
      </w:pPr>
    </w:p>
    <w:p w14:paraId="0AE03D86" w14:textId="0E78B5F4" w:rsidR="009B1605" w:rsidRPr="00434D9D" w:rsidRDefault="001675E1">
      <w:pPr>
        <w:rPr>
          <w:rFonts w:ascii="Times New Roman" w:hAnsi="Times New Roman" w:cs="Times New Roman"/>
          <w:sz w:val="24"/>
          <w:szCs w:val="24"/>
        </w:rPr>
      </w:pPr>
      <w:r w:rsidRPr="00434D9D">
        <w:rPr>
          <w:rFonts w:ascii="Times New Roman" w:hAnsi="Times New Roman" w:cs="Times New Roman"/>
          <w:sz w:val="24"/>
          <w:szCs w:val="24"/>
        </w:rPr>
        <w:t>As a result, individuals like you and me, who had no say in how compan</w:t>
      </w:r>
      <w:r w:rsidR="00B21CE9">
        <w:rPr>
          <w:rFonts w:ascii="Times New Roman" w:hAnsi="Times New Roman" w:cs="Times New Roman"/>
          <w:sz w:val="24"/>
          <w:szCs w:val="24"/>
        </w:rPr>
        <w:t>ies</w:t>
      </w:r>
      <w:r w:rsidRPr="00434D9D">
        <w:rPr>
          <w:rFonts w:ascii="Times New Roman" w:hAnsi="Times New Roman" w:cs="Times New Roman"/>
          <w:sz w:val="24"/>
          <w:szCs w:val="24"/>
        </w:rPr>
        <w:t xml:space="preserve"> store their information, are now compromised</w:t>
      </w:r>
      <w:r w:rsidR="00B21CE9">
        <w:rPr>
          <w:rFonts w:ascii="Times New Roman" w:hAnsi="Times New Roman" w:cs="Times New Roman"/>
          <w:sz w:val="24"/>
          <w:szCs w:val="24"/>
        </w:rPr>
        <w:t xml:space="preserve"> and perpetually at risk</w:t>
      </w:r>
      <w:r w:rsidRPr="00434D9D">
        <w:rPr>
          <w:rFonts w:ascii="Times New Roman" w:hAnsi="Times New Roman" w:cs="Times New Roman"/>
          <w:sz w:val="24"/>
          <w:szCs w:val="24"/>
        </w:rPr>
        <w:t>.  They must be vigilant for the rest of their lives in protecting their credit</w:t>
      </w:r>
      <w:r w:rsidR="00B21CE9">
        <w:rPr>
          <w:rFonts w:ascii="Times New Roman" w:hAnsi="Times New Roman" w:cs="Times New Roman"/>
          <w:sz w:val="24"/>
          <w:szCs w:val="24"/>
        </w:rPr>
        <w:t>—</w:t>
      </w:r>
      <w:r w:rsidRPr="00434D9D">
        <w:rPr>
          <w:rFonts w:ascii="Times New Roman" w:hAnsi="Times New Roman" w:cs="Times New Roman"/>
          <w:sz w:val="24"/>
          <w:szCs w:val="24"/>
        </w:rPr>
        <w:t>moreso than the average consumer</w:t>
      </w:r>
      <w:r w:rsidR="00B21CE9">
        <w:rPr>
          <w:rFonts w:ascii="Times New Roman" w:hAnsi="Times New Roman" w:cs="Times New Roman"/>
          <w:sz w:val="24"/>
          <w:szCs w:val="24"/>
        </w:rPr>
        <w:t>—</w:t>
      </w:r>
      <w:r w:rsidRPr="00434D9D">
        <w:rPr>
          <w:rFonts w:ascii="Times New Roman" w:hAnsi="Times New Roman" w:cs="Times New Roman"/>
          <w:sz w:val="24"/>
          <w:szCs w:val="24"/>
        </w:rPr>
        <w:t>because a company decided not to encrypt their data.</w:t>
      </w:r>
    </w:p>
    <w:p w14:paraId="57A50263" w14:textId="77777777" w:rsidR="009B1605" w:rsidRPr="00434D9D" w:rsidRDefault="009B1605">
      <w:pPr>
        <w:rPr>
          <w:rFonts w:ascii="Times New Roman" w:hAnsi="Times New Roman" w:cs="Times New Roman"/>
          <w:sz w:val="24"/>
          <w:szCs w:val="24"/>
        </w:rPr>
      </w:pPr>
    </w:p>
    <w:p w14:paraId="70597F75" w14:textId="77777777" w:rsidR="009B1605" w:rsidRPr="00434D9D" w:rsidRDefault="001675E1">
      <w:pPr>
        <w:rPr>
          <w:rFonts w:ascii="Times New Roman" w:hAnsi="Times New Roman" w:cs="Times New Roman"/>
          <w:sz w:val="24"/>
          <w:szCs w:val="24"/>
        </w:rPr>
      </w:pPr>
      <w:r w:rsidRPr="00434D9D">
        <w:rPr>
          <w:rFonts w:ascii="Times New Roman" w:hAnsi="Times New Roman" w:cs="Times New Roman"/>
          <w:sz w:val="24"/>
          <w:szCs w:val="24"/>
        </w:rPr>
        <w:t xml:space="preserve">Thankfully, a class action lawsuit was brought against Anthem that resulted in a </w:t>
      </w:r>
      <w:r w:rsidR="00B21CE9">
        <w:rPr>
          <w:rFonts w:ascii="Times New Roman" w:hAnsi="Times New Roman" w:cs="Times New Roman"/>
          <w:sz w:val="24"/>
          <w:szCs w:val="24"/>
        </w:rPr>
        <w:t xml:space="preserve">meaningful </w:t>
      </w:r>
      <w:r w:rsidRPr="00434D9D">
        <w:rPr>
          <w:rFonts w:ascii="Times New Roman" w:hAnsi="Times New Roman" w:cs="Times New Roman"/>
          <w:sz w:val="24"/>
          <w:szCs w:val="24"/>
        </w:rPr>
        <w:t xml:space="preserve">settlement, providing credit monitoring for consumers, a settlement fund to pay identity theft claims, and additional measures that would ensure that consumers’ credit would be protected for years to come.  Anthem, as the company that elected </w:t>
      </w:r>
      <w:r w:rsidRPr="00434D9D">
        <w:rPr>
          <w:rFonts w:ascii="Times New Roman" w:hAnsi="Times New Roman" w:cs="Times New Roman"/>
          <w:i/>
          <w:sz w:val="24"/>
          <w:szCs w:val="24"/>
        </w:rPr>
        <w:t xml:space="preserve">not </w:t>
      </w:r>
      <w:r w:rsidRPr="00434D9D">
        <w:rPr>
          <w:rFonts w:ascii="Times New Roman" w:hAnsi="Times New Roman" w:cs="Times New Roman"/>
          <w:sz w:val="24"/>
          <w:szCs w:val="24"/>
        </w:rPr>
        <w:t>to safeguard the data, and who bore the risk of not investing in additional resources to secure the data that it elected to keep on Internet-accessible servers, is able to pay the settlement as a cost of doing business.</w:t>
      </w:r>
    </w:p>
    <w:p w14:paraId="347B9022" w14:textId="261E31C5" w:rsidR="009B1605" w:rsidRDefault="009B1605">
      <w:pPr>
        <w:rPr>
          <w:rFonts w:ascii="Times New Roman" w:hAnsi="Times New Roman" w:cs="Times New Roman"/>
          <w:sz w:val="24"/>
          <w:szCs w:val="24"/>
        </w:rPr>
      </w:pPr>
    </w:p>
    <w:p w14:paraId="1E26EF47" w14:textId="098C4CCE" w:rsidR="00330423" w:rsidRDefault="00EA18EF" w:rsidP="00EA18EF">
      <w:pPr>
        <w:rPr>
          <w:rFonts w:ascii="Times New Roman" w:hAnsi="Times New Roman" w:cs="Times New Roman"/>
          <w:sz w:val="24"/>
          <w:szCs w:val="24"/>
        </w:rPr>
      </w:pPr>
      <w:r>
        <w:rPr>
          <w:rFonts w:ascii="Times New Roman" w:hAnsi="Times New Roman" w:cs="Times New Roman"/>
          <w:sz w:val="24"/>
          <w:szCs w:val="24"/>
        </w:rPr>
        <w:t>More recently and here in Ohio, A</w:t>
      </w:r>
      <w:r w:rsidRPr="00EA18EF">
        <w:rPr>
          <w:rFonts w:ascii="Times New Roman" w:hAnsi="Times New Roman" w:cs="Times New Roman"/>
          <w:sz w:val="24"/>
          <w:szCs w:val="24"/>
        </w:rPr>
        <w:t>ultWorks Occupational Medicine, Aultman Hospital, and some Aultman physician offices</w:t>
      </w:r>
      <w:r>
        <w:rPr>
          <w:rFonts w:ascii="Times New Roman" w:hAnsi="Times New Roman" w:cs="Times New Roman"/>
          <w:sz w:val="24"/>
          <w:szCs w:val="24"/>
        </w:rPr>
        <w:t xml:space="preserve"> had a data breach affecting 42,600 patients. </w:t>
      </w:r>
      <w:r w:rsidR="0035228E">
        <w:rPr>
          <w:rFonts w:ascii="Times New Roman" w:hAnsi="Times New Roman" w:cs="Times New Roman"/>
          <w:sz w:val="24"/>
          <w:szCs w:val="24"/>
        </w:rPr>
        <w:t>Through this breach, h</w:t>
      </w:r>
      <w:r>
        <w:rPr>
          <w:rFonts w:ascii="Times New Roman" w:hAnsi="Times New Roman" w:cs="Times New Roman"/>
          <w:sz w:val="24"/>
          <w:szCs w:val="24"/>
        </w:rPr>
        <w:t xml:space="preserve">ackers were able to steal </w:t>
      </w:r>
      <w:r w:rsidR="0035228E">
        <w:rPr>
          <w:rFonts w:ascii="Times New Roman" w:hAnsi="Times New Roman" w:cs="Times New Roman"/>
          <w:sz w:val="24"/>
          <w:szCs w:val="24"/>
        </w:rPr>
        <w:t xml:space="preserve">the </w:t>
      </w:r>
      <w:r>
        <w:rPr>
          <w:rFonts w:ascii="Times New Roman" w:hAnsi="Times New Roman" w:cs="Times New Roman"/>
          <w:sz w:val="24"/>
          <w:szCs w:val="24"/>
        </w:rPr>
        <w:t>person</w:t>
      </w:r>
      <w:r w:rsidR="0035228E">
        <w:rPr>
          <w:rFonts w:ascii="Times New Roman" w:hAnsi="Times New Roman" w:cs="Times New Roman"/>
          <w:sz w:val="24"/>
          <w:szCs w:val="24"/>
        </w:rPr>
        <w:t>al</w:t>
      </w:r>
      <w:r>
        <w:rPr>
          <w:rFonts w:ascii="Times New Roman" w:hAnsi="Times New Roman" w:cs="Times New Roman"/>
          <w:sz w:val="24"/>
          <w:szCs w:val="24"/>
        </w:rPr>
        <w:t xml:space="preserve"> health and identification information</w:t>
      </w:r>
      <w:r w:rsidR="0035228E">
        <w:rPr>
          <w:rFonts w:ascii="Times New Roman" w:hAnsi="Times New Roman" w:cs="Times New Roman"/>
          <w:sz w:val="24"/>
          <w:szCs w:val="24"/>
        </w:rPr>
        <w:t xml:space="preserve"> of these people</w:t>
      </w:r>
      <w:r>
        <w:rPr>
          <w:rFonts w:ascii="Times New Roman" w:hAnsi="Times New Roman" w:cs="Times New Roman"/>
          <w:sz w:val="24"/>
          <w:szCs w:val="24"/>
        </w:rPr>
        <w:t xml:space="preserve">. The breach occurred when several employees opened emails </w:t>
      </w:r>
      <w:r w:rsidR="0035228E">
        <w:rPr>
          <w:rFonts w:ascii="Times New Roman" w:hAnsi="Times New Roman" w:cs="Times New Roman"/>
          <w:sz w:val="24"/>
          <w:szCs w:val="24"/>
        </w:rPr>
        <w:t xml:space="preserve">containing a virus. </w:t>
      </w:r>
      <w:r w:rsidR="00330423">
        <w:rPr>
          <w:rFonts w:ascii="Times New Roman" w:hAnsi="Times New Roman" w:cs="Times New Roman"/>
          <w:sz w:val="24"/>
          <w:szCs w:val="24"/>
        </w:rPr>
        <w:t>This should not have happened and HIPAA compliance did not prevent it</w:t>
      </w:r>
      <w:r w:rsidR="00850C9C">
        <w:rPr>
          <w:rFonts w:ascii="Times New Roman" w:hAnsi="Times New Roman" w:cs="Times New Roman"/>
          <w:sz w:val="24"/>
          <w:szCs w:val="24"/>
        </w:rPr>
        <w:t>—</w:t>
      </w:r>
      <w:r w:rsidR="00330423">
        <w:rPr>
          <w:rFonts w:ascii="Times New Roman" w:hAnsi="Times New Roman" w:cs="Times New Roman"/>
          <w:sz w:val="24"/>
          <w:szCs w:val="24"/>
        </w:rPr>
        <w:t xml:space="preserve">despite </w:t>
      </w:r>
      <w:r w:rsidR="000A0355">
        <w:rPr>
          <w:rFonts w:ascii="Times New Roman" w:hAnsi="Times New Roman" w:cs="Times New Roman"/>
          <w:sz w:val="24"/>
          <w:szCs w:val="24"/>
        </w:rPr>
        <w:t>Attorney General DeWine’s May 16, 2018’s letter to the Senate Government Oversight and Reform Committee</w:t>
      </w:r>
      <w:r w:rsidR="00330423">
        <w:rPr>
          <w:rFonts w:ascii="Times New Roman" w:hAnsi="Times New Roman" w:cs="Times New Roman"/>
          <w:sz w:val="24"/>
          <w:szCs w:val="24"/>
        </w:rPr>
        <w:t xml:space="preserve">. </w:t>
      </w:r>
      <w:r w:rsidR="0035228E">
        <w:rPr>
          <w:rFonts w:ascii="Times New Roman" w:hAnsi="Times New Roman" w:cs="Times New Roman"/>
          <w:sz w:val="24"/>
          <w:szCs w:val="24"/>
        </w:rPr>
        <w:lastRenderedPageBreak/>
        <w:t xml:space="preserve">However, despite the </w:t>
      </w:r>
      <w:r w:rsidR="009C76A1">
        <w:rPr>
          <w:rFonts w:ascii="Times New Roman" w:hAnsi="Times New Roman" w:cs="Times New Roman"/>
          <w:sz w:val="24"/>
          <w:szCs w:val="24"/>
        </w:rPr>
        <w:t>harmful</w:t>
      </w:r>
      <w:r w:rsidR="0035228E">
        <w:rPr>
          <w:rFonts w:ascii="Times New Roman" w:hAnsi="Times New Roman" w:cs="Times New Roman"/>
          <w:sz w:val="24"/>
          <w:szCs w:val="24"/>
        </w:rPr>
        <w:t xml:space="preserve"> affect this can have on these 42,600 Ohioans, S.B. 220, would strip away from them the right to redressed for any losses th</w:t>
      </w:r>
      <w:r w:rsidR="009C76A1">
        <w:rPr>
          <w:rFonts w:ascii="Times New Roman" w:hAnsi="Times New Roman" w:cs="Times New Roman"/>
          <w:sz w:val="24"/>
          <w:szCs w:val="24"/>
        </w:rPr>
        <w:t>at would come from this breach.</w:t>
      </w:r>
      <w:r w:rsidR="00330423">
        <w:rPr>
          <w:rFonts w:ascii="Times New Roman" w:hAnsi="Times New Roman" w:cs="Times New Roman"/>
          <w:sz w:val="24"/>
          <w:szCs w:val="24"/>
        </w:rPr>
        <w:t xml:space="preserve"> </w:t>
      </w:r>
    </w:p>
    <w:p w14:paraId="035772B3" w14:textId="77777777" w:rsidR="00EA18EF" w:rsidRPr="00434D9D" w:rsidRDefault="00EA18EF">
      <w:pPr>
        <w:rPr>
          <w:rFonts w:ascii="Times New Roman" w:hAnsi="Times New Roman" w:cs="Times New Roman"/>
          <w:sz w:val="24"/>
          <w:szCs w:val="24"/>
        </w:rPr>
      </w:pPr>
    </w:p>
    <w:p w14:paraId="03554019" w14:textId="3C793E9A" w:rsidR="009B1605" w:rsidRPr="00434D9D" w:rsidRDefault="001675E1">
      <w:pPr>
        <w:rPr>
          <w:rFonts w:ascii="Times New Roman" w:hAnsi="Times New Roman" w:cs="Times New Roman"/>
          <w:sz w:val="24"/>
          <w:szCs w:val="24"/>
        </w:rPr>
      </w:pPr>
      <w:r w:rsidRPr="00434D9D">
        <w:rPr>
          <w:rFonts w:ascii="Times New Roman" w:hAnsi="Times New Roman" w:cs="Times New Roman"/>
          <w:sz w:val="24"/>
          <w:szCs w:val="24"/>
        </w:rPr>
        <w:t xml:space="preserve">The safe harbor that </w:t>
      </w:r>
      <w:r w:rsidR="00B21CE9">
        <w:rPr>
          <w:rFonts w:ascii="Times New Roman" w:hAnsi="Times New Roman" w:cs="Times New Roman"/>
          <w:sz w:val="24"/>
          <w:szCs w:val="24"/>
        </w:rPr>
        <w:t xml:space="preserve">S.B. 220 </w:t>
      </w:r>
      <w:r w:rsidRPr="00434D9D">
        <w:rPr>
          <w:rFonts w:ascii="Times New Roman" w:hAnsi="Times New Roman" w:cs="Times New Roman"/>
          <w:sz w:val="24"/>
          <w:szCs w:val="24"/>
        </w:rPr>
        <w:t xml:space="preserve">would provide would shift the cost of a company’s </w:t>
      </w:r>
      <w:r w:rsidR="00B21CE9">
        <w:rPr>
          <w:rFonts w:ascii="Times New Roman" w:hAnsi="Times New Roman" w:cs="Times New Roman"/>
          <w:sz w:val="24"/>
          <w:szCs w:val="24"/>
        </w:rPr>
        <w:t xml:space="preserve">use </w:t>
      </w:r>
      <w:r w:rsidRPr="00434D9D">
        <w:rPr>
          <w:rFonts w:ascii="Times New Roman" w:hAnsi="Times New Roman" w:cs="Times New Roman"/>
          <w:sz w:val="24"/>
          <w:szCs w:val="24"/>
        </w:rPr>
        <w:t>of minimum criteria in safeguarding data to the individual consumers</w:t>
      </w:r>
      <w:r w:rsidR="00B21CE9">
        <w:rPr>
          <w:rFonts w:ascii="Times New Roman" w:hAnsi="Times New Roman" w:cs="Times New Roman"/>
          <w:sz w:val="24"/>
          <w:szCs w:val="24"/>
        </w:rPr>
        <w:t>—</w:t>
      </w:r>
      <w:r w:rsidRPr="00434D9D">
        <w:rPr>
          <w:rFonts w:ascii="Times New Roman" w:hAnsi="Times New Roman" w:cs="Times New Roman"/>
          <w:sz w:val="24"/>
          <w:szCs w:val="24"/>
        </w:rPr>
        <w:t>who have no choice in what security measures the company chooses, how the company stores data, who the company provides that data to, and how long that company keeps their data.  The safe harbor is bad for</w:t>
      </w:r>
      <w:r w:rsidR="00B21CE9">
        <w:rPr>
          <w:rFonts w:ascii="Times New Roman" w:hAnsi="Times New Roman" w:cs="Times New Roman"/>
          <w:sz w:val="24"/>
          <w:szCs w:val="24"/>
        </w:rPr>
        <w:t xml:space="preserve"> companies, it’s bad for consumers, and thus, it’s bad for the State of Ohio</w:t>
      </w:r>
      <w:r w:rsidRPr="00434D9D">
        <w:rPr>
          <w:rFonts w:ascii="Times New Roman" w:hAnsi="Times New Roman" w:cs="Times New Roman"/>
          <w:sz w:val="24"/>
          <w:szCs w:val="24"/>
        </w:rPr>
        <w:t xml:space="preserve">.  </w:t>
      </w:r>
    </w:p>
    <w:p w14:paraId="7888A717" w14:textId="77777777" w:rsidR="009B1605" w:rsidRPr="00434D9D" w:rsidRDefault="009B1605">
      <w:pPr>
        <w:rPr>
          <w:rFonts w:ascii="Times New Roman" w:hAnsi="Times New Roman" w:cs="Times New Roman"/>
          <w:sz w:val="24"/>
          <w:szCs w:val="24"/>
        </w:rPr>
      </w:pPr>
    </w:p>
    <w:p w14:paraId="2D7F1D69" w14:textId="1E9D47C2" w:rsidR="009B1605" w:rsidRPr="00434D9D" w:rsidRDefault="001675E1">
      <w:pPr>
        <w:rPr>
          <w:rFonts w:ascii="Times New Roman" w:hAnsi="Times New Roman" w:cs="Times New Roman"/>
          <w:sz w:val="24"/>
          <w:szCs w:val="24"/>
        </w:rPr>
      </w:pPr>
      <w:r w:rsidRPr="00434D9D">
        <w:rPr>
          <w:rFonts w:ascii="Times New Roman" w:hAnsi="Times New Roman" w:cs="Times New Roman"/>
          <w:sz w:val="24"/>
          <w:szCs w:val="24"/>
        </w:rPr>
        <w:t xml:space="preserve">The purpose of lawsuits </w:t>
      </w:r>
      <w:r w:rsidR="00B21CE9">
        <w:rPr>
          <w:rFonts w:ascii="Times New Roman" w:hAnsi="Times New Roman" w:cs="Times New Roman"/>
          <w:sz w:val="24"/>
          <w:szCs w:val="24"/>
        </w:rPr>
        <w:t xml:space="preserve">arising from data breach incidents </w:t>
      </w:r>
      <w:r w:rsidRPr="00434D9D">
        <w:rPr>
          <w:rFonts w:ascii="Times New Roman" w:hAnsi="Times New Roman" w:cs="Times New Roman"/>
          <w:sz w:val="24"/>
          <w:szCs w:val="24"/>
        </w:rPr>
        <w:t xml:space="preserve">is </w:t>
      </w:r>
      <w:r w:rsidRPr="00DA7E15">
        <w:rPr>
          <w:rFonts w:ascii="Times New Roman" w:hAnsi="Times New Roman" w:cs="Times New Roman"/>
          <w:i/>
          <w:sz w:val="24"/>
          <w:szCs w:val="24"/>
        </w:rPr>
        <w:t>not</w:t>
      </w:r>
      <w:r w:rsidRPr="00434D9D">
        <w:rPr>
          <w:rFonts w:ascii="Times New Roman" w:hAnsi="Times New Roman" w:cs="Times New Roman"/>
          <w:sz w:val="24"/>
          <w:szCs w:val="24"/>
        </w:rPr>
        <w:t xml:space="preserve"> to bankrupt companies</w:t>
      </w:r>
      <w:r w:rsidR="00B21CE9">
        <w:rPr>
          <w:rFonts w:ascii="Times New Roman" w:hAnsi="Times New Roman" w:cs="Times New Roman"/>
          <w:sz w:val="24"/>
          <w:szCs w:val="24"/>
        </w:rPr>
        <w:t xml:space="preserve">.  Rather, these lawsuits ensure </w:t>
      </w:r>
      <w:r w:rsidRPr="00434D9D">
        <w:rPr>
          <w:rFonts w:ascii="Times New Roman" w:hAnsi="Times New Roman" w:cs="Times New Roman"/>
          <w:sz w:val="24"/>
          <w:szCs w:val="24"/>
        </w:rPr>
        <w:t>that companies factor the potential for data falling into the wrong hands</w:t>
      </w:r>
      <w:r w:rsidR="00B21CE9">
        <w:rPr>
          <w:rFonts w:ascii="Times New Roman" w:hAnsi="Times New Roman" w:cs="Times New Roman"/>
          <w:sz w:val="24"/>
          <w:szCs w:val="24"/>
        </w:rPr>
        <w:t xml:space="preserve"> (and the legal exposure for such incidents)</w:t>
      </w:r>
      <w:r w:rsidRPr="00434D9D">
        <w:rPr>
          <w:rFonts w:ascii="Times New Roman" w:hAnsi="Times New Roman" w:cs="Times New Roman"/>
          <w:sz w:val="24"/>
          <w:szCs w:val="24"/>
        </w:rPr>
        <w:t xml:space="preserve"> as part of </w:t>
      </w:r>
      <w:r w:rsidR="00B21CE9">
        <w:rPr>
          <w:rFonts w:ascii="Times New Roman" w:hAnsi="Times New Roman" w:cs="Times New Roman"/>
          <w:sz w:val="24"/>
          <w:szCs w:val="24"/>
        </w:rPr>
        <w:t xml:space="preserve">their </w:t>
      </w:r>
      <w:r w:rsidRPr="00434D9D">
        <w:rPr>
          <w:rFonts w:ascii="Times New Roman" w:hAnsi="Times New Roman" w:cs="Times New Roman"/>
          <w:sz w:val="24"/>
          <w:szCs w:val="24"/>
        </w:rPr>
        <w:t>investment into cyber security protocols.  Attorneys who bring data breach lawsuits want to work with these companies to ensure that they can provide the necessary protection to consumers whose data is compromised.  Importantly, class action settlements provide something of value to companies who are sued: releases for current and future claims related to the breach.  The company is able to ensure that its liability is limited, and assure its investors that any exposure related to a breach has an end point.</w:t>
      </w:r>
      <w:r w:rsidR="009C76A1">
        <w:rPr>
          <w:rFonts w:ascii="Times New Roman" w:hAnsi="Times New Roman" w:cs="Times New Roman"/>
          <w:sz w:val="24"/>
          <w:szCs w:val="24"/>
        </w:rPr>
        <w:br/>
      </w:r>
    </w:p>
    <w:p w14:paraId="670BF9AA" w14:textId="6EB182B8" w:rsidR="009B1605" w:rsidRPr="00434D9D" w:rsidRDefault="001675E1">
      <w:pPr>
        <w:rPr>
          <w:rFonts w:ascii="Times New Roman" w:hAnsi="Times New Roman" w:cs="Times New Roman"/>
          <w:sz w:val="24"/>
          <w:szCs w:val="24"/>
        </w:rPr>
      </w:pPr>
      <w:r w:rsidRPr="00434D9D">
        <w:rPr>
          <w:rFonts w:ascii="Times New Roman" w:hAnsi="Times New Roman" w:cs="Times New Roman"/>
          <w:sz w:val="24"/>
          <w:szCs w:val="24"/>
        </w:rPr>
        <w:t>Some may say that S.B. 220 would also limit the liability for companies because it would become increasingly difficult to sue them.  The problem with this logic is that it ignores patchwork, state-by-state legislation enacted regarding data breaches.  Most data breaches affect consumers nationwide</w:t>
      </w:r>
      <w:r w:rsidR="007B7CE9">
        <w:rPr>
          <w:rFonts w:ascii="Times New Roman" w:hAnsi="Times New Roman" w:cs="Times New Roman"/>
          <w:sz w:val="24"/>
          <w:szCs w:val="24"/>
        </w:rPr>
        <w:t>—</w:t>
      </w:r>
      <w:r w:rsidRPr="00434D9D">
        <w:rPr>
          <w:rFonts w:ascii="Times New Roman" w:hAnsi="Times New Roman" w:cs="Times New Roman"/>
          <w:sz w:val="24"/>
          <w:szCs w:val="24"/>
        </w:rPr>
        <w:t xml:space="preserve">such as the current litigation that my firm is co-leading against Equifax.  </w:t>
      </w:r>
      <w:r w:rsidR="00B22AFC">
        <w:rPr>
          <w:rFonts w:ascii="Times New Roman" w:hAnsi="Times New Roman" w:cs="Times New Roman"/>
          <w:sz w:val="24"/>
          <w:szCs w:val="24"/>
        </w:rPr>
        <w:t>T</w:t>
      </w:r>
      <w:r w:rsidRPr="00434D9D">
        <w:rPr>
          <w:rFonts w:ascii="Times New Roman" w:hAnsi="Times New Roman" w:cs="Times New Roman"/>
          <w:sz w:val="24"/>
          <w:szCs w:val="24"/>
        </w:rPr>
        <w:t>hose lawsuits are brought by consumers</w:t>
      </w:r>
      <w:r w:rsidR="00B22AFC">
        <w:rPr>
          <w:rFonts w:ascii="Times New Roman" w:hAnsi="Times New Roman" w:cs="Times New Roman"/>
          <w:sz w:val="24"/>
          <w:szCs w:val="24"/>
        </w:rPr>
        <w:t xml:space="preserve"> </w:t>
      </w:r>
      <w:r w:rsidR="00B22AFC">
        <w:rPr>
          <w:rFonts w:ascii="Times New Roman" w:hAnsi="Times New Roman" w:cs="Times New Roman"/>
          <w:i/>
          <w:sz w:val="24"/>
          <w:szCs w:val="24"/>
        </w:rPr>
        <w:t xml:space="preserve">and </w:t>
      </w:r>
      <w:r w:rsidR="00B22AFC">
        <w:rPr>
          <w:rFonts w:ascii="Times New Roman" w:hAnsi="Times New Roman" w:cs="Times New Roman"/>
          <w:sz w:val="24"/>
          <w:szCs w:val="24"/>
        </w:rPr>
        <w:t>small businesses</w:t>
      </w:r>
      <w:r w:rsidRPr="00434D9D">
        <w:rPr>
          <w:rFonts w:ascii="Times New Roman" w:hAnsi="Times New Roman" w:cs="Times New Roman"/>
          <w:sz w:val="24"/>
          <w:szCs w:val="24"/>
        </w:rPr>
        <w:t xml:space="preserve"> on behalf of nationwide classes.  At the motion to dismiss stage, S.B. 220 would require judges in federal courts in different parts of the Country to decide whether a company “complied” with one of several different best practices</w:t>
      </w:r>
      <w:r w:rsidR="007B7CE9">
        <w:rPr>
          <w:rFonts w:ascii="Times New Roman" w:hAnsi="Times New Roman" w:cs="Times New Roman"/>
          <w:sz w:val="24"/>
          <w:szCs w:val="24"/>
        </w:rPr>
        <w:t>—</w:t>
      </w:r>
      <w:r w:rsidRPr="00434D9D">
        <w:rPr>
          <w:rFonts w:ascii="Times New Roman" w:hAnsi="Times New Roman" w:cs="Times New Roman"/>
          <w:sz w:val="24"/>
          <w:szCs w:val="24"/>
        </w:rPr>
        <w:t>wading through hundreds of pages of technical documents</w:t>
      </w:r>
      <w:r w:rsidR="007B7CE9">
        <w:rPr>
          <w:rFonts w:ascii="Times New Roman" w:hAnsi="Times New Roman" w:cs="Times New Roman"/>
          <w:sz w:val="24"/>
          <w:szCs w:val="24"/>
        </w:rPr>
        <w:t>—</w:t>
      </w:r>
      <w:r w:rsidRPr="00434D9D">
        <w:rPr>
          <w:rFonts w:ascii="Times New Roman" w:hAnsi="Times New Roman" w:cs="Times New Roman"/>
          <w:sz w:val="24"/>
          <w:szCs w:val="24"/>
        </w:rPr>
        <w:t xml:space="preserve">in order to address the issue at the motion to dismiss stage.  </w:t>
      </w:r>
      <w:r w:rsidR="007B7CE9">
        <w:rPr>
          <w:rFonts w:ascii="Times New Roman" w:hAnsi="Times New Roman" w:cs="Times New Roman"/>
          <w:sz w:val="24"/>
          <w:szCs w:val="24"/>
        </w:rPr>
        <w:t xml:space="preserve">S.B. 220 </w:t>
      </w:r>
      <w:r w:rsidRPr="00434D9D">
        <w:rPr>
          <w:rFonts w:ascii="Times New Roman" w:hAnsi="Times New Roman" w:cs="Times New Roman"/>
          <w:sz w:val="24"/>
          <w:szCs w:val="24"/>
        </w:rPr>
        <w:t xml:space="preserve">would require federal </w:t>
      </w:r>
      <w:r w:rsidR="00B22AFC">
        <w:rPr>
          <w:rFonts w:ascii="Times New Roman" w:hAnsi="Times New Roman" w:cs="Times New Roman"/>
          <w:sz w:val="24"/>
          <w:szCs w:val="24"/>
        </w:rPr>
        <w:t xml:space="preserve">and state court </w:t>
      </w:r>
      <w:r w:rsidRPr="00434D9D">
        <w:rPr>
          <w:rFonts w:ascii="Times New Roman" w:hAnsi="Times New Roman" w:cs="Times New Roman"/>
          <w:sz w:val="24"/>
          <w:szCs w:val="24"/>
        </w:rPr>
        <w:t xml:space="preserve">judges to become experts or </w:t>
      </w:r>
      <w:r w:rsidR="007B7CE9">
        <w:rPr>
          <w:rFonts w:ascii="Times New Roman" w:hAnsi="Times New Roman" w:cs="Times New Roman"/>
          <w:sz w:val="24"/>
          <w:szCs w:val="24"/>
        </w:rPr>
        <w:t xml:space="preserve">prospectively analyze </w:t>
      </w:r>
      <w:r w:rsidRPr="00434D9D">
        <w:rPr>
          <w:rFonts w:ascii="Times New Roman" w:hAnsi="Times New Roman" w:cs="Times New Roman"/>
          <w:sz w:val="24"/>
          <w:szCs w:val="24"/>
        </w:rPr>
        <w:t xml:space="preserve">expert reports, something </w:t>
      </w:r>
      <w:r w:rsidR="007B7CE9">
        <w:rPr>
          <w:rFonts w:ascii="Times New Roman" w:hAnsi="Times New Roman" w:cs="Times New Roman"/>
          <w:sz w:val="24"/>
          <w:szCs w:val="24"/>
        </w:rPr>
        <w:t xml:space="preserve">that is not </w:t>
      </w:r>
      <w:r w:rsidRPr="00434D9D">
        <w:rPr>
          <w:rFonts w:ascii="Times New Roman" w:hAnsi="Times New Roman" w:cs="Times New Roman"/>
          <w:sz w:val="24"/>
          <w:szCs w:val="24"/>
        </w:rPr>
        <w:t>contemplated by the Federal Rules of Civil Procedure</w:t>
      </w:r>
      <w:r w:rsidR="007B7CE9">
        <w:rPr>
          <w:rFonts w:ascii="Times New Roman" w:hAnsi="Times New Roman" w:cs="Times New Roman"/>
          <w:sz w:val="24"/>
          <w:szCs w:val="24"/>
        </w:rPr>
        <w:t xml:space="preserve"> or the Ohio Rules of Civil Procedure</w:t>
      </w:r>
      <w:r w:rsidRPr="00434D9D">
        <w:rPr>
          <w:rFonts w:ascii="Times New Roman" w:hAnsi="Times New Roman" w:cs="Times New Roman"/>
          <w:sz w:val="24"/>
          <w:szCs w:val="24"/>
        </w:rPr>
        <w:t xml:space="preserve"> at the pleadings stage, and which could create a conflict with the Class Action Fairness Act</w:t>
      </w:r>
      <w:r w:rsidR="00DA7E15">
        <w:rPr>
          <w:rFonts w:ascii="Times New Roman" w:hAnsi="Times New Roman" w:cs="Times New Roman"/>
          <w:sz w:val="24"/>
          <w:szCs w:val="24"/>
        </w:rPr>
        <w:t xml:space="preserve"> for nationwide cases</w:t>
      </w:r>
      <w:r w:rsidRPr="00434D9D">
        <w:rPr>
          <w:rFonts w:ascii="Times New Roman" w:hAnsi="Times New Roman" w:cs="Times New Roman"/>
          <w:sz w:val="24"/>
          <w:szCs w:val="24"/>
        </w:rPr>
        <w:t>, and the authority afforded to judges to run their dockets and set case deadlines.  Moreover, any resulting opinion on a motion to dismiss could be appealed, resulting in additional litigation costs.</w:t>
      </w:r>
    </w:p>
    <w:p w14:paraId="5175E36C" w14:textId="77777777" w:rsidR="009B1605" w:rsidRPr="00434D9D" w:rsidRDefault="009B1605">
      <w:pPr>
        <w:rPr>
          <w:rFonts w:ascii="Times New Roman" w:hAnsi="Times New Roman" w:cs="Times New Roman"/>
          <w:sz w:val="24"/>
          <w:szCs w:val="24"/>
        </w:rPr>
      </w:pPr>
    </w:p>
    <w:p w14:paraId="3D45690C" w14:textId="5A32FD14" w:rsidR="00034462" w:rsidRDefault="001675E1">
      <w:pPr>
        <w:rPr>
          <w:rFonts w:ascii="Times New Roman" w:hAnsi="Times New Roman" w:cs="Times New Roman"/>
          <w:sz w:val="24"/>
          <w:szCs w:val="24"/>
        </w:rPr>
      </w:pPr>
      <w:r w:rsidRPr="00434D9D">
        <w:rPr>
          <w:rFonts w:ascii="Times New Roman" w:hAnsi="Times New Roman" w:cs="Times New Roman"/>
          <w:sz w:val="24"/>
          <w:szCs w:val="24"/>
        </w:rPr>
        <w:t xml:space="preserve">It is </w:t>
      </w:r>
      <w:r>
        <w:rPr>
          <w:rFonts w:ascii="Times New Roman" w:hAnsi="Times New Roman" w:cs="Times New Roman"/>
          <w:sz w:val="24"/>
          <w:szCs w:val="24"/>
        </w:rPr>
        <w:t xml:space="preserve">also </w:t>
      </w:r>
      <w:r w:rsidRPr="00434D9D">
        <w:rPr>
          <w:rFonts w:ascii="Times New Roman" w:hAnsi="Times New Roman" w:cs="Times New Roman"/>
          <w:sz w:val="24"/>
          <w:szCs w:val="24"/>
        </w:rPr>
        <w:t xml:space="preserve">important that the Committee not lose sight of small businesses </w:t>
      </w:r>
      <w:r w:rsidR="00034462">
        <w:rPr>
          <w:rFonts w:ascii="Times New Roman" w:hAnsi="Times New Roman" w:cs="Times New Roman"/>
          <w:sz w:val="24"/>
          <w:szCs w:val="24"/>
        </w:rPr>
        <w:t xml:space="preserve">and financial institutions </w:t>
      </w:r>
      <w:r w:rsidRPr="00434D9D">
        <w:rPr>
          <w:rFonts w:ascii="Times New Roman" w:hAnsi="Times New Roman" w:cs="Times New Roman"/>
          <w:sz w:val="24"/>
          <w:szCs w:val="24"/>
        </w:rPr>
        <w:t xml:space="preserve">when considering this Bill.  As I explained earlier, my firm is co-leading the litigation against Equifax, which </w:t>
      </w:r>
      <w:r w:rsidRPr="00434D9D">
        <w:rPr>
          <w:rFonts w:ascii="Times New Roman" w:hAnsi="Times New Roman" w:cs="Times New Roman"/>
          <w:i/>
          <w:sz w:val="24"/>
          <w:szCs w:val="24"/>
        </w:rPr>
        <w:t xml:space="preserve">also </w:t>
      </w:r>
      <w:r w:rsidRPr="00434D9D">
        <w:rPr>
          <w:rFonts w:ascii="Times New Roman" w:hAnsi="Times New Roman" w:cs="Times New Roman"/>
          <w:sz w:val="24"/>
          <w:szCs w:val="24"/>
        </w:rPr>
        <w:t xml:space="preserve">includes actions </w:t>
      </w:r>
      <w:r w:rsidRPr="00434D9D">
        <w:rPr>
          <w:rFonts w:ascii="Times New Roman" w:hAnsi="Times New Roman" w:cs="Times New Roman"/>
          <w:i/>
          <w:sz w:val="24"/>
          <w:szCs w:val="24"/>
        </w:rPr>
        <w:t>on behalf of small businesses</w:t>
      </w:r>
      <w:r w:rsidR="00034462">
        <w:rPr>
          <w:rFonts w:ascii="Times New Roman" w:hAnsi="Times New Roman" w:cs="Times New Roman"/>
          <w:i/>
          <w:sz w:val="24"/>
          <w:szCs w:val="24"/>
        </w:rPr>
        <w:t xml:space="preserve"> and Financial Institutions </w:t>
      </w:r>
      <w:r w:rsidRPr="00434D9D">
        <w:rPr>
          <w:rFonts w:ascii="Times New Roman" w:hAnsi="Times New Roman" w:cs="Times New Roman"/>
          <w:sz w:val="24"/>
          <w:szCs w:val="24"/>
        </w:rPr>
        <w:t xml:space="preserve">who were </w:t>
      </w:r>
      <w:r>
        <w:rPr>
          <w:rFonts w:ascii="Times New Roman" w:hAnsi="Times New Roman" w:cs="Times New Roman"/>
          <w:sz w:val="24"/>
          <w:szCs w:val="24"/>
        </w:rPr>
        <w:t xml:space="preserve">detrimentally affected </w:t>
      </w:r>
      <w:r w:rsidRPr="00434D9D">
        <w:rPr>
          <w:rFonts w:ascii="Times New Roman" w:hAnsi="Times New Roman" w:cs="Times New Roman"/>
          <w:sz w:val="24"/>
          <w:szCs w:val="24"/>
        </w:rPr>
        <w:t>by Equifax’s data breach.  While the media</w:t>
      </w:r>
      <w:r w:rsidR="00B22AFC">
        <w:rPr>
          <w:rFonts w:ascii="Times New Roman" w:hAnsi="Times New Roman" w:cs="Times New Roman"/>
          <w:sz w:val="24"/>
          <w:szCs w:val="24"/>
        </w:rPr>
        <w:t>f</w:t>
      </w:r>
      <w:r w:rsidRPr="00434D9D">
        <w:rPr>
          <w:rFonts w:ascii="Times New Roman" w:hAnsi="Times New Roman" w:cs="Times New Roman"/>
          <w:sz w:val="24"/>
          <w:szCs w:val="24"/>
        </w:rPr>
        <w:t xml:space="preserve"> focuses much of its attention on how individuals were </w:t>
      </w:r>
      <w:r>
        <w:rPr>
          <w:rFonts w:ascii="Times New Roman" w:hAnsi="Times New Roman" w:cs="Times New Roman"/>
          <w:sz w:val="24"/>
          <w:szCs w:val="24"/>
        </w:rPr>
        <w:t xml:space="preserve">affected </w:t>
      </w:r>
      <w:r w:rsidRPr="00434D9D">
        <w:rPr>
          <w:rFonts w:ascii="Times New Roman" w:hAnsi="Times New Roman" w:cs="Times New Roman"/>
          <w:sz w:val="24"/>
          <w:szCs w:val="24"/>
        </w:rPr>
        <w:t xml:space="preserve">by the 2017 breach, the </w:t>
      </w:r>
      <w:r w:rsidRPr="00434D9D">
        <w:rPr>
          <w:rFonts w:ascii="Times New Roman" w:hAnsi="Times New Roman" w:cs="Times New Roman"/>
          <w:sz w:val="24"/>
          <w:szCs w:val="24"/>
        </w:rPr>
        <w:lastRenderedPageBreak/>
        <w:t xml:space="preserve">consolidated litigation </w:t>
      </w:r>
      <w:r w:rsidRPr="00434D9D">
        <w:rPr>
          <w:rFonts w:ascii="Times New Roman" w:hAnsi="Times New Roman" w:cs="Times New Roman"/>
          <w:i/>
          <w:sz w:val="24"/>
          <w:szCs w:val="24"/>
        </w:rPr>
        <w:t xml:space="preserve">also </w:t>
      </w:r>
      <w:r w:rsidRPr="00434D9D">
        <w:rPr>
          <w:rFonts w:ascii="Times New Roman" w:hAnsi="Times New Roman" w:cs="Times New Roman"/>
          <w:sz w:val="24"/>
          <w:szCs w:val="24"/>
        </w:rPr>
        <w:t xml:space="preserve">seeks damages on behalf of small businesses </w:t>
      </w:r>
      <w:r w:rsidR="00034462">
        <w:rPr>
          <w:rFonts w:ascii="Times New Roman" w:hAnsi="Times New Roman" w:cs="Times New Roman"/>
          <w:sz w:val="24"/>
          <w:szCs w:val="24"/>
        </w:rPr>
        <w:t xml:space="preserve">and financial institutions </w:t>
      </w:r>
      <w:r w:rsidRPr="00434D9D">
        <w:rPr>
          <w:rFonts w:ascii="Times New Roman" w:hAnsi="Times New Roman" w:cs="Times New Roman"/>
          <w:sz w:val="24"/>
          <w:szCs w:val="24"/>
        </w:rPr>
        <w:t>who were harmed by the breach</w:t>
      </w:r>
      <w:r>
        <w:rPr>
          <w:rFonts w:ascii="Times New Roman" w:hAnsi="Times New Roman" w:cs="Times New Roman"/>
          <w:sz w:val="24"/>
          <w:szCs w:val="24"/>
        </w:rPr>
        <w:t>—</w:t>
      </w:r>
      <w:r w:rsidRPr="00434D9D">
        <w:rPr>
          <w:rFonts w:ascii="Times New Roman" w:hAnsi="Times New Roman" w:cs="Times New Roman"/>
          <w:sz w:val="24"/>
          <w:szCs w:val="24"/>
        </w:rPr>
        <w:t xml:space="preserve">small businesses owned by one or two individuals, who were unable to obtain a loan, had to pay for small business credit monitoring, or had to pay for a small business credit report because of the breach.  </w:t>
      </w:r>
      <w:r w:rsidR="00034462">
        <w:rPr>
          <w:rFonts w:ascii="Times New Roman" w:hAnsi="Times New Roman" w:cs="Times New Roman"/>
          <w:sz w:val="24"/>
          <w:szCs w:val="24"/>
        </w:rPr>
        <w:t>Financial institutions have been refunding fraudulent charges to their credit card holders and issuing them new cards.</w:t>
      </w:r>
    </w:p>
    <w:p w14:paraId="170D35E8" w14:textId="77777777" w:rsidR="00034462" w:rsidRDefault="00034462">
      <w:pPr>
        <w:rPr>
          <w:rFonts w:ascii="Times New Roman" w:hAnsi="Times New Roman" w:cs="Times New Roman"/>
          <w:sz w:val="24"/>
          <w:szCs w:val="24"/>
        </w:rPr>
      </w:pPr>
    </w:p>
    <w:p w14:paraId="32A2846C" w14:textId="293F3DCA" w:rsidR="009B1605" w:rsidRPr="00434D9D" w:rsidRDefault="001675E1">
      <w:pPr>
        <w:rPr>
          <w:rFonts w:ascii="Times New Roman" w:hAnsi="Times New Roman" w:cs="Times New Roman"/>
          <w:i/>
          <w:sz w:val="24"/>
          <w:szCs w:val="24"/>
        </w:rPr>
      </w:pPr>
      <w:r w:rsidRPr="00434D9D">
        <w:rPr>
          <w:rFonts w:ascii="Times New Roman" w:hAnsi="Times New Roman" w:cs="Times New Roman"/>
          <w:sz w:val="24"/>
          <w:szCs w:val="24"/>
        </w:rPr>
        <w:t xml:space="preserve">S.B. 220 would have a chilling effect on allowing small businesses </w:t>
      </w:r>
      <w:r w:rsidR="00034462">
        <w:rPr>
          <w:rFonts w:ascii="Times New Roman" w:hAnsi="Times New Roman" w:cs="Times New Roman"/>
          <w:sz w:val="24"/>
          <w:szCs w:val="24"/>
        </w:rPr>
        <w:t>and financial institutions to</w:t>
      </w:r>
      <w:r w:rsidRPr="00434D9D">
        <w:rPr>
          <w:rFonts w:ascii="Times New Roman" w:hAnsi="Times New Roman" w:cs="Times New Roman"/>
          <w:sz w:val="24"/>
          <w:szCs w:val="24"/>
        </w:rPr>
        <w:t xml:space="preserve"> pursue their claims against companies like Equifax.  </w:t>
      </w:r>
      <w:r w:rsidRPr="00E02EF5">
        <w:rPr>
          <w:rFonts w:ascii="Times New Roman" w:hAnsi="Times New Roman" w:cs="Times New Roman"/>
          <w:i/>
          <w:sz w:val="24"/>
          <w:szCs w:val="24"/>
        </w:rPr>
        <w:t>Make no mistake: this Bill would ultimately hurt, not help, small businesses</w:t>
      </w:r>
      <w:r w:rsidR="00034462">
        <w:rPr>
          <w:rFonts w:ascii="Times New Roman" w:hAnsi="Times New Roman" w:cs="Times New Roman"/>
          <w:i/>
          <w:sz w:val="24"/>
          <w:szCs w:val="24"/>
        </w:rPr>
        <w:t xml:space="preserve"> and financial institutions</w:t>
      </w:r>
      <w:r w:rsidRPr="00434D9D">
        <w:rPr>
          <w:rFonts w:ascii="Times New Roman" w:hAnsi="Times New Roman" w:cs="Times New Roman"/>
          <w:sz w:val="24"/>
          <w:szCs w:val="24"/>
        </w:rPr>
        <w:t>.</w:t>
      </w:r>
    </w:p>
    <w:p w14:paraId="1FBEE313" w14:textId="77777777" w:rsidR="009B1605" w:rsidRPr="00434D9D" w:rsidRDefault="009B1605">
      <w:pPr>
        <w:rPr>
          <w:rFonts w:ascii="Times New Roman" w:hAnsi="Times New Roman" w:cs="Times New Roman"/>
          <w:sz w:val="24"/>
          <w:szCs w:val="24"/>
        </w:rPr>
      </w:pPr>
    </w:p>
    <w:p w14:paraId="791A2072" w14:textId="2557582A" w:rsidR="009B1605" w:rsidRPr="00434D9D" w:rsidRDefault="001675E1">
      <w:pPr>
        <w:rPr>
          <w:rFonts w:ascii="Times New Roman" w:hAnsi="Times New Roman" w:cs="Times New Roman"/>
          <w:sz w:val="24"/>
          <w:szCs w:val="24"/>
        </w:rPr>
      </w:pPr>
      <w:r w:rsidRPr="00434D9D">
        <w:rPr>
          <w:rFonts w:ascii="Times New Roman" w:hAnsi="Times New Roman" w:cs="Times New Roman"/>
          <w:sz w:val="24"/>
          <w:szCs w:val="24"/>
        </w:rPr>
        <w:t xml:space="preserve">While the purpose of S.B. 220 is an admirable one, providing a safe harbor, which would require judges to decide this issue at the motion to dismiss stage, would be disruptive, costly, and </w:t>
      </w:r>
      <w:r>
        <w:rPr>
          <w:rFonts w:ascii="Times New Roman" w:hAnsi="Times New Roman" w:cs="Times New Roman"/>
          <w:sz w:val="24"/>
          <w:szCs w:val="24"/>
        </w:rPr>
        <w:t xml:space="preserve">will </w:t>
      </w:r>
      <w:r w:rsidRPr="00434D9D">
        <w:rPr>
          <w:rFonts w:ascii="Times New Roman" w:hAnsi="Times New Roman" w:cs="Times New Roman"/>
          <w:sz w:val="24"/>
          <w:szCs w:val="24"/>
        </w:rPr>
        <w:t>lead to inconsistent rulings and increased litigation costs.  S.B. 220 will not end data breaches; rather, it will shift the cost of those breaches to the consumers, who have no say in how companies store their data</w:t>
      </w:r>
      <w:r>
        <w:rPr>
          <w:rFonts w:ascii="Times New Roman" w:hAnsi="Times New Roman" w:cs="Times New Roman"/>
          <w:sz w:val="24"/>
          <w:szCs w:val="24"/>
        </w:rPr>
        <w:t xml:space="preserve"> and will give companies a free pass for their bad behavior</w:t>
      </w:r>
      <w:r w:rsidRPr="00434D9D">
        <w:rPr>
          <w:rFonts w:ascii="Times New Roman" w:hAnsi="Times New Roman" w:cs="Times New Roman"/>
          <w:sz w:val="24"/>
          <w:szCs w:val="24"/>
        </w:rPr>
        <w:t>.</w:t>
      </w:r>
    </w:p>
    <w:p w14:paraId="7A5BBFBA" w14:textId="77777777" w:rsidR="009B1605" w:rsidRPr="00434D9D" w:rsidRDefault="009B1605">
      <w:pPr>
        <w:rPr>
          <w:rFonts w:ascii="Times New Roman" w:hAnsi="Times New Roman" w:cs="Times New Roman"/>
          <w:sz w:val="24"/>
          <w:szCs w:val="24"/>
        </w:rPr>
      </w:pPr>
    </w:p>
    <w:p w14:paraId="2CD74EC3" w14:textId="1FF3C079" w:rsidR="009B1605" w:rsidRDefault="001675E1">
      <w:pPr>
        <w:rPr>
          <w:rFonts w:ascii="Times New Roman" w:hAnsi="Times New Roman" w:cs="Times New Roman"/>
          <w:sz w:val="24"/>
          <w:szCs w:val="24"/>
        </w:rPr>
      </w:pPr>
      <w:r w:rsidRPr="00434D9D">
        <w:rPr>
          <w:rFonts w:ascii="Times New Roman" w:hAnsi="Times New Roman" w:cs="Times New Roman"/>
          <w:sz w:val="24"/>
          <w:szCs w:val="24"/>
        </w:rPr>
        <w:t>Litigation is an effective tool to discourage sloppy data security, and also enables companies to cap their liability, obtain releases from affected consumers, and ensure that their consumers are protected.  Rather than providing companies with a safe harbor, the Committee should work with attorneys to strengthen consumer protection laws, and follow the guidance from states and countries enacting strict cyber security protocols to prevent data breaches.</w:t>
      </w:r>
      <w:r>
        <w:rPr>
          <w:rFonts w:ascii="Times New Roman" w:hAnsi="Times New Roman" w:cs="Times New Roman"/>
          <w:sz w:val="24"/>
          <w:szCs w:val="24"/>
        </w:rPr>
        <w:t xml:space="preserve">  S.B. 220 does not do that and should thus not be enacted.</w:t>
      </w:r>
    </w:p>
    <w:p w14:paraId="5AF562FC" w14:textId="77777777" w:rsidR="001104BA" w:rsidRDefault="001104BA">
      <w:pPr>
        <w:rPr>
          <w:rFonts w:ascii="Times New Roman" w:hAnsi="Times New Roman" w:cs="Times New Roman"/>
          <w:sz w:val="24"/>
          <w:szCs w:val="24"/>
        </w:rPr>
      </w:pPr>
    </w:p>
    <w:p w14:paraId="12E336B7" w14:textId="77777777" w:rsidR="001104BA" w:rsidRPr="00434D9D" w:rsidRDefault="001104BA" w:rsidP="001104BA">
      <w:pPr>
        <w:jc w:val="center"/>
        <w:rPr>
          <w:rFonts w:ascii="Times New Roman" w:hAnsi="Times New Roman" w:cs="Times New Roman"/>
          <w:sz w:val="24"/>
          <w:szCs w:val="24"/>
        </w:rPr>
      </w:pPr>
      <w:r>
        <w:rPr>
          <w:rFonts w:ascii="Times New Roman" w:hAnsi="Times New Roman" w:cs="Times New Roman"/>
          <w:sz w:val="24"/>
          <w:szCs w:val="24"/>
        </w:rPr>
        <w:t>Thank you for your time and consideration.</w:t>
      </w:r>
    </w:p>
    <w:sectPr w:rsidR="001104BA" w:rsidRPr="00434D9D" w:rsidSect="00434D9D">
      <w:headerReference w:type="default" r:id="rId6"/>
      <w:footerReference w:type="default" r:id="rId7"/>
      <w:headerReference w:type="first" r:id="rId8"/>
      <w:footerReference w:type="first" r:id="rId9"/>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30D94" w14:textId="77777777" w:rsidR="00434D9D" w:rsidRDefault="00434D9D" w:rsidP="00434D9D">
      <w:pPr>
        <w:spacing w:line="240" w:lineRule="auto"/>
      </w:pPr>
      <w:r>
        <w:separator/>
      </w:r>
    </w:p>
  </w:endnote>
  <w:endnote w:type="continuationSeparator" w:id="0">
    <w:p w14:paraId="7EAB2425" w14:textId="77777777" w:rsidR="00434D9D" w:rsidRDefault="00434D9D" w:rsidP="00434D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ECB5F" w14:textId="2EBBCFF8" w:rsidR="001104BA" w:rsidRDefault="00E02EF5">
    <w:pPr>
      <w:pStyle w:val="Footer"/>
      <w:rPr>
        <w:rFonts w:eastAsia="Times New Roman" w:cs="Times New Roman"/>
        <w:noProof/>
        <w:sz w:val="20"/>
        <w:szCs w:val="21"/>
      </w:rPr>
    </w:pPr>
    <w:r w:rsidRPr="00E331FA">
      <w:rPr>
        <w:rFonts w:eastAsia="Times New Roman" w:cs="Times New Roman"/>
        <w:noProof/>
        <w:sz w:val="20"/>
        <w:szCs w:val="21"/>
      </w:rPr>
      <w:drawing>
        <wp:anchor distT="0" distB="0" distL="114300" distR="114300" simplePos="0" relativeHeight="251658240" behindDoc="1" locked="0" layoutInCell="1" allowOverlap="1" wp14:anchorId="1B364509" wp14:editId="1499E73C">
          <wp:simplePos x="0" y="0"/>
          <wp:positionH relativeFrom="column">
            <wp:posOffset>-9526</wp:posOffset>
          </wp:positionH>
          <wp:positionV relativeFrom="paragraph">
            <wp:posOffset>5079</wp:posOffset>
          </wp:positionV>
          <wp:extent cx="619125" cy="577293"/>
          <wp:effectExtent l="0" t="0" r="0" b="0"/>
          <wp:wrapNone/>
          <wp:docPr id="1"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rotWithShape="1">
                  <a:blip r:embed="rId1">
                    <a:extLst>
                      <a:ext uri="{28A0092B-C50C-407E-A947-70E740481C1C}">
                        <a14:useLocalDpi xmlns:a14="http://schemas.microsoft.com/office/drawing/2010/main" val="0"/>
                      </a:ext>
                    </a:extLst>
                  </a:blip>
                  <a:srcRect t="-1" r="71970" b="-2985"/>
                  <a:stretch/>
                </pic:blipFill>
                <pic:spPr bwMode="auto">
                  <a:xfrm>
                    <a:off x="0" y="0"/>
                    <a:ext cx="622485" cy="58042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2CA3FA" w14:textId="1EFBE505" w:rsidR="00434D9D" w:rsidRPr="001104BA" w:rsidRDefault="001104BA">
    <w:pPr>
      <w:pStyle w:val="Footer"/>
      <w:rPr>
        <w:rFonts w:asciiTheme="minorHAnsi" w:hAnsiTheme="minorHAnsi"/>
      </w:rPr>
    </w:pPr>
    <w:r w:rsidRPr="001104BA">
      <w:rPr>
        <w:rFonts w:asciiTheme="minorHAnsi" w:hAnsiTheme="minorHAnsi"/>
      </w:rPr>
      <w:tab/>
    </w:r>
    <w:r w:rsidRPr="001104BA">
      <w:rPr>
        <w:rFonts w:asciiTheme="minorHAnsi" w:hAnsiTheme="minorHAnsi"/>
      </w:rPr>
      <w:tab/>
      <w:t xml:space="preserve">Page </w:t>
    </w:r>
    <w:r w:rsidRPr="001104BA">
      <w:rPr>
        <w:rFonts w:asciiTheme="minorHAnsi" w:hAnsiTheme="minorHAnsi"/>
      </w:rPr>
      <w:fldChar w:fldCharType="begin"/>
    </w:r>
    <w:r w:rsidRPr="001104BA">
      <w:rPr>
        <w:rFonts w:asciiTheme="minorHAnsi" w:hAnsiTheme="minorHAnsi"/>
      </w:rPr>
      <w:instrText xml:space="preserve"> PAGE   \* MERGEFORMAT </w:instrText>
    </w:r>
    <w:r w:rsidRPr="001104BA">
      <w:rPr>
        <w:rFonts w:asciiTheme="minorHAnsi" w:hAnsiTheme="minorHAnsi"/>
      </w:rPr>
      <w:fldChar w:fldCharType="separate"/>
    </w:r>
    <w:r w:rsidR="001529EC">
      <w:rPr>
        <w:rFonts w:asciiTheme="minorHAnsi" w:hAnsiTheme="minorHAnsi"/>
        <w:noProof/>
      </w:rPr>
      <w:t>4</w:t>
    </w:r>
    <w:r w:rsidRPr="001104BA">
      <w:rPr>
        <w:rFonts w:asciiTheme="minorHAnsi" w:hAnsi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A4F77" w14:textId="77777777" w:rsidR="001104BA" w:rsidRPr="001104BA" w:rsidRDefault="00434D9D">
    <w:pPr>
      <w:pStyle w:val="Footer"/>
      <w:rPr>
        <w:rFonts w:asciiTheme="minorHAnsi" w:hAnsiTheme="minorHAnsi" w:cs="Times New Roman"/>
        <w:sz w:val="16"/>
        <w:szCs w:val="16"/>
      </w:rPr>
    </w:pPr>
    <w:r w:rsidRPr="001104BA">
      <w:rPr>
        <w:rFonts w:asciiTheme="minorHAnsi" w:hAnsiTheme="minorHAnsi" w:cs="Times New Roman"/>
        <w:b/>
        <w:sz w:val="16"/>
        <w:szCs w:val="16"/>
      </w:rPr>
      <w:t>Cleveland</w:t>
    </w:r>
    <w:r w:rsidR="001104BA" w:rsidRPr="001104BA">
      <w:rPr>
        <w:rFonts w:asciiTheme="minorHAnsi" w:hAnsiTheme="minorHAnsi" w:cs="Times New Roman"/>
        <w:sz w:val="16"/>
        <w:szCs w:val="16"/>
      </w:rPr>
      <w:tab/>
    </w:r>
    <w:r w:rsidR="001104BA" w:rsidRPr="001104BA">
      <w:rPr>
        <w:rFonts w:asciiTheme="minorHAnsi" w:hAnsiTheme="minorHAnsi" w:cs="Times New Roman"/>
        <w:sz w:val="16"/>
        <w:szCs w:val="16"/>
      </w:rPr>
      <w:tab/>
    </w:r>
    <w:r w:rsidR="001104BA" w:rsidRPr="001104BA">
      <w:rPr>
        <w:rFonts w:asciiTheme="minorHAnsi" w:hAnsiTheme="minorHAnsi" w:cs="Times New Roman"/>
        <w:b/>
        <w:sz w:val="16"/>
        <w:szCs w:val="16"/>
      </w:rPr>
      <w:t>Chicago</w:t>
    </w:r>
  </w:p>
  <w:p w14:paraId="62675541" w14:textId="77777777" w:rsidR="001104BA" w:rsidRPr="001104BA" w:rsidRDefault="001104BA">
    <w:pPr>
      <w:pStyle w:val="Footer"/>
      <w:rPr>
        <w:rFonts w:asciiTheme="minorHAnsi" w:hAnsiTheme="minorHAnsi" w:cs="Times New Roman"/>
        <w:sz w:val="16"/>
        <w:szCs w:val="16"/>
      </w:rPr>
    </w:pPr>
    <w:r w:rsidRPr="001104BA">
      <w:rPr>
        <w:rFonts w:asciiTheme="minorHAnsi" w:hAnsiTheme="minorHAnsi" w:cs="Times New Roman"/>
        <w:sz w:val="16"/>
        <w:szCs w:val="16"/>
      </w:rPr>
      <w:t>Western Reserve Law Building</w:t>
    </w:r>
    <w:r w:rsidRPr="001104BA">
      <w:rPr>
        <w:rFonts w:asciiTheme="minorHAnsi" w:hAnsiTheme="minorHAnsi" w:cs="Times New Roman"/>
        <w:sz w:val="16"/>
        <w:szCs w:val="16"/>
      </w:rPr>
      <w:tab/>
    </w:r>
    <w:r w:rsidRPr="001104BA">
      <w:rPr>
        <w:rFonts w:asciiTheme="minorHAnsi" w:hAnsiTheme="minorHAnsi" w:cs="Times New Roman"/>
        <w:sz w:val="16"/>
        <w:szCs w:val="16"/>
      </w:rPr>
      <w:tab/>
      <w:t>Ten North Dearborn Street</w:t>
    </w:r>
  </w:p>
  <w:p w14:paraId="313E9454" w14:textId="77777777" w:rsidR="001104BA" w:rsidRPr="001104BA" w:rsidRDefault="001104BA">
    <w:pPr>
      <w:pStyle w:val="Footer"/>
      <w:rPr>
        <w:rFonts w:asciiTheme="minorHAnsi" w:hAnsiTheme="minorHAnsi" w:cs="Times New Roman"/>
        <w:sz w:val="16"/>
        <w:szCs w:val="16"/>
      </w:rPr>
    </w:pPr>
    <w:r w:rsidRPr="001104BA">
      <w:rPr>
        <w:rFonts w:asciiTheme="minorHAnsi" w:hAnsiTheme="minorHAnsi" w:cs="Times New Roman"/>
        <w:sz w:val="16"/>
        <w:szCs w:val="16"/>
      </w:rPr>
      <w:t>7556 Mentor Avenue</w:t>
    </w:r>
    <w:r w:rsidRPr="001104BA">
      <w:rPr>
        <w:rFonts w:asciiTheme="minorHAnsi" w:hAnsiTheme="minorHAnsi" w:cs="Times New Roman"/>
        <w:sz w:val="16"/>
        <w:szCs w:val="16"/>
      </w:rPr>
      <w:tab/>
    </w:r>
    <w:r w:rsidRPr="001104BA">
      <w:rPr>
        <w:rFonts w:asciiTheme="minorHAnsi" w:hAnsiTheme="minorHAnsi" w:cs="Times New Roman"/>
        <w:sz w:val="16"/>
        <w:szCs w:val="16"/>
      </w:rPr>
      <w:tab/>
      <w:t>Eleventh Floor</w:t>
    </w:r>
  </w:p>
  <w:p w14:paraId="48CD1BB4" w14:textId="77777777" w:rsidR="00434D9D" w:rsidRPr="001104BA" w:rsidRDefault="001104BA">
    <w:pPr>
      <w:pStyle w:val="Footer"/>
      <w:rPr>
        <w:rFonts w:asciiTheme="minorHAnsi" w:hAnsiTheme="minorHAnsi" w:cs="Times New Roman"/>
        <w:sz w:val="16"/>
        <w:szCs w:val="16"/>
      </w:rPr>
    </w:pPr>
    <w:r w:rsidRPr="001104BA">
      <w:rPr>
        <w:rFonts w:asciiTheme="minorHAnsi" w:hAnsiTheme="minorHAnsi" w:cs="Times New Roman"/>
        <w:sz w:val="16"/>
        <w:szCs w:val="16"/>
      </w:rPr>
      <w:t>Mentor, Ohio 44060</w:t>
    </w:r>
    <w:r w:rsidR="00434D9D" w:rsidRPr="001104BA">
      <w:rPr>
        <w:rFonts w:asciiTheme="minorHAnsi" w:hAnsiTheme="minorHAnsi" w:cs="Times New Roman"/>
        <w:sz w:val="16"/>
        <w:szCs w:val="16"/>
      </w:rPr>
      <w:tab/>
    </w:r>
    <w:r w:rsidR="00434D9D" w:rsidRPr="001104BA">
      <w:rPr>
        <w:rFonts w:asciiTheme="minorHAnsi" w:hAnsiTheme="minorHAnsi" w:cs="Times New Roman"/>
        <w:sz w:val="16"/>
        <w:szCs w:val="16"/>
      </w:rPr>
      <w:tab/>
    </w:r>
    <w:r w:rsidRPr="001104BA">
      <w:rPr>
        <w:rFonts w:asciiTheme="minorHAnsi" w:hAnsiTheme="minorHAnsi" w:cs="Times New Roman"/>
        <w:sz w:val="16"/>
        <w:szCs w:val="16"/>
      </w:rPr>
      <w:t>Chicago, Illinois 60602</w:t>
    </w:r>
  </w:p>
  <w:p w14:paraId="7FACA346" w14:textId="77777777" w:rsidR="00434D9D" w:rsidRPr="001104BA" w:rsidRDefault="00434D9D">
    <w:pPr>
      <w:pStyle w:val="Footer"/>
      <w:rPr>
        <w:rFonts w:asciiTheme="minorHAnsi" w:hAnsiTheme="minorHAnsi" w:cs="Times New Roman"/>
        <w:sz w:val="16"/>
        <w:szCs w:val="16"/>
      </w:rPr>
    </w:pPr>
  </w:p>
  <w:p w14:paraId="1D00C14C" w14:textId="77777777" w:rsidR="001104BA" w:rsidRPr="001104BA" w:rsidRDefault="001104BA" w:rsidP="001104BA">
    <w:pPr>
      <w:pStyle w:val="Footer"/>
      <w:jc w:val="center"/>
      <w:rPr>
        <w:rFonts w:asciiTheme="minorHAnsi" w:hAnsiTheme="minorHAnsi" w:cs="Times New Roman"/>
        <w:sz w:val="16"/>
        <w:szCs w:val="16"/>
      </w:rPr>
    </w:pPr>
    <w:r w:rsidRPr="001104BA">
      <w:rPr>
        <w:rFonts w:asciiTheme="minorHAnsi" w:hAnsiTheme="minorHAnsi" w:cs="Times New Roman"/>
        <w:sz w:val="16"/>
        <w:szCs w:val="16"/>
      </w:rPr>
      <w:t>www.dlcfirm.com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5C934" w14:textId="77777777" w:rsidR="00434D9D" w:rsidRDefault="00434D9D" w:rsidP="00434D9D">
      <w:pPr>
        <w:spacing w:line="240" w:lineRule="auto"/>
      </w:pPr>
      <w:r>
        <w:separator/>
      </w:r>
    </w:p>
  </w:footnote>
  <w:footnote w:type="continuationSeparator" w:id="0">
    <w:p w14:paraId="77B81F85" w14:textId="77777777" w:rsidR="00434D9D" w:rsidRDefault="00434D9D" w:rsidP="00434D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79527" w14:textId="77777777" w:rsidR="001104BA" w:rsidRPr="001104BA" w:rsidRDefault="001104BA">
    <w:pPr>
      <w:pStyle w:val="Header"/>
      <w:rPr>
        <w:rFonts w:asciiTheme="minorHAnsi" w:hAnsiTheme="minorHAnsi"/>
        <w:sz w:val="18"/>
        <w:szCs w:val="18"/>
      </w:rPr>
    </w:pPr>
  </w:p>
  <w:p w14:paraId="0151E7C4" w14:textId="77777777" w:rsidR="001104BA" w:rsidRPr="001104BA" w:rsidRDefault="001104BA">
    <w:pPr>
      <w:pStyle w:val="Header"/>
      <w:rPr>
        <w:rFonts w:asciiTheme="minorHAnsi" w:hAnsiTheme="minorHAnsi"/>
        <w:sz w:val="18"/>
        <w:szCs w:val="18"/>
      </w:rPr>
    </w:pPr>
  </w:p>
  <w:p w14:paraId="3E350193" w14:textId="77777777" w:rsidR="001104BA" w:rsidRDefault="001104BA">
    <w:pPr>
      <w:pStyle w:val="Header"/>
      <w:rPr>
        <w:rFonts w:asciiTheme="minorHAnsi" w:hAnsiTheme="minorHAnsi"/>
        <w:sz w:val="18"/>
        <w:szCs w:val="18"/>
      </w:rPr>
    </w:pPr>
  </w:p>
  <w:p w14:paraId="128A4729" w14:textId="77777777" w:rsidR="001104BA" w:rsidRPr="001104BA" w:rsidRDefault="001104BA">
    <w:pPr>
      <w:pStyle w:val="Header"/>
      <w:rPr>
        <w:rFonts w:asciiTheme="minorHAnsi" w:hAnsiTheme="minorHAnsi"/>
        <w:sz w:val="18"/>
        <w:szCs w:val="18"/>
      </w:rPr>
    </w:pPr>
    <w:r w:rsidRPr="001104BA">
      <w:rPr>
        <w:rFonts w:asciiTheme="minorHAnsi" w:hAnsiTheme="minorHAnsi"/>
        <w:sz w:val="18"/>
        <w:szCs w:val="18"/>
      </w:rPr>
      <w:t>Amy E. Keller and Mark Abramowitz</w:t>
    </w:r>
  </w:p>
  <w:p w14:paraId="5DD8BE45" w14:textId="77777777" w:rsidR="001104BA" w:rsidRPr="001104BA" w:rsidRDefault="001104BA">
    <w:pPr>
      <w:pStyle w:val="Header"/>
      <w:rPr>
        <w:rFonts w:asciiTheme="minorHAnsi" w:hAnsiTheme="minorHAnsi"/>
        <w:sz w:val="18"/>
        <w:szCs w:val="18"/>
      </w:rPr>
    </w:pPr>
    <w:r w:rsidRPr="001104BA">
      <w:rPr>
        <w:rFonts w:asciiTheme="minorHAnsi" w:hAnsiTheme="minorHAnsi"/>
        <w:sz w:val="18"/>
        <w:szCs w:val="18"/>
      </w:rPr>
      <w:t>DiCello Levitt &amp; Casey LLC</w:t>
    </w:r>
  </w:p>
  <w:p w14:paraId="5F0836C1" w14:textId="77777777" w:rsidR="001104BA" w:rsidRPr="001104BA" w:rsidRDefault="001104BA">
    <w:pPr>
      <w:pStyle w:val="Header"/>
      <w:rPr>
        <w:rFonts w:asciiTheme="minorHAnsi" w:hAnsiTheme="minorHAnsi"/>
        <w:sz w:val="18"/>
        <w:szCs w:val="18"/>
      </w:rPr>
    </w:pPr>
    <w:r w:rsidRPr="001104BA">
      <w:rPr>
        <w:rFonts w:asciiTheme="minorHAnsi" w:hAnsiTheme="minorHAnsi"/>
        <w:sz w:val="18"/>
        <w:szCs w:val="18"/>
      </w:rPr>
      <w:t>Testimony in Opposition to S.B. 220</w:t>
    </w:r>
  </w:p>
  <w:p w14:paraId="59297436" w14:textId="60C2221D" w:rsidR="001104BA" w:rsidRPr="001104BA" w:rsidRDefault="000A0355">
    <w:pPr>
      <w:pStyle w:val="Header"/>
      <w:rPr>
        <w:rFonts w:asciiTheme="minorHAnsi" w:hAnsiTheme="minorHAnsi"/>
        <w:sz w:val="18"/>
        <w:szCs w:val="18"/>
      </w:rPr>
    </w:pPr>
    <w:r>
      <w:rPr>
        <w:rFonts w:asciiTheme="minorHAnsi" w:hAnsiTheme="minorHAnsi"/>
        <w:sz w:val="18"/>
        <w:szCs w:val="18"/>
      </w:rPr>
      <w:t>June 25</w:t>
    </w:r>
    <w:r w:rsidR="001104BA" w:rsidRPr="001104BA">
      <w:rPr>
        <w:rFonts w:asciiTheme="minorHAnsi" w:hAnsiTheme="minorHAnsi"/>
        <w:sz w:val="18"/>
        <w:szCs w:val="18"/>
      </w:rPr>
      <w:t>, 2018</w:t>
    </w:r>
  </w:p>
  <w:p w14:paraId="265C1D40" w14:textId="77777777" w:rsidR="001104BA" w:rsidRPr="001104BA" w:rsidRDefault="001104BA">
    <w:pPr>
      <w:pStyle w:val="Header"/>
      <w:rPr>
        <w:rFonts w:asciiTheme="minorHAnsi" w:hAnsiTheme="minorHAns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EEC98" w14:textId="77777777" w:rsidR="00434D9D" w:rsidRDefault="00434D9D" w:rsidP="00434D9D">
    <w:pPr>
      <w:pStyle w:val="Header"/>
      <w:tabs>
        <w:tab w:val="left" w:pos="2415"/>
      </w:tabs>
    </w:pPr>
    <w:r>
      <w:tab/>
    </w:r>
  </w:p>
  <w:p w14:paraId="1E7740BD" w14:textId="77777777" w:rsidR="00434D9D" w:rsidRDefault="00434D9D" w:rsidP="00434D9D">
    <w:pPr>
      <w:pStyle w:val="Header"/>
      <w:tabs>
        <w:tab w:val="left" w:pos="2415"/>
      </w:tabs>
    </w:pPr>
    <w:r>
      <w:tab/>
    </w:r>
  </w:p>
  <w:p w14:paraId="5FFB4B01" w14:textId="77777777" w:rsidR="00434D9D" w:rsidRDefault="00434D9D" w:rsidP="00434D9D">
    <w:pPr>
      <w:pStyle w:val="Header"/>
      <w:tabs>
        <w:tab w:val="left" w:pos="2415"/>
      </w:tabs>
    </w:pPr>
  </w:p>
  <w:p w14:paraId="467955FB" w14:textId="77777777" w:rsidR="00434D9D" w:rsidRDefault="00434D9D" w:rsidP="00434D9D">
    <w:pPr>
      <w:pStyle w:val="Header"/>
      <w:tabs>
        <w:tab w:val="left" w:pos="2415"/>
      </w:tabs>
      <w:jc w:val="center"/>
    </w:pPr>
    <w:r w:rsidRPr="00E331FA">
      <w:rPr>
        <w:rFonts w:eastAsia="Times New Roman" w:cs="Times New Roman"/>
        <w:noProof/>
        <w:sz w:val="20"/>
        <w:szCs w:val="21"/>
      </w:rPr>
      <w:drawing>
        <wp:inline distT="0" distB="0" distL="0" distR="0" wp14:anchorId="6F48522B" wp14:editId="4485262B">
          <wp:extent cx="2514600" cy="638175"/>
          <wp:effectExtent l="0" t="0" r="0" b="9525"/>
          <wp:docPr id="55"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638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9B1605"/>
    <w:rsid w:val="00034462"/>
    <w:rsid w:val="000A0355"/>
    <w:rsid w:val="000C5ED4"/>
    <w:rsid w:val="001104BA"/>
    <w:rsid w:val="001529EC"/>
    <w:rsid w:val="001675E1"/>
    <w:rsid w:val="002C05A9"/>
    <w:rsid w:val="00330423"/>
    <w:rsid w:val="0035228E"/>
    <w:rsid w:val="004208D2"/>
    <w:rsid w:val="00434D9D"/>
    <w:rsid w:val="00460C7C"/>
    <w:rsid w:val="00535BE3"/>
    <w:rsid w:val="005A2B2E"/>
    <w:rsid w:val="007B7CE9"/>
    <w:rsid w:val="00812B7E"/>
    <w:rsid w:val="00827250"/>
    <w:rsid w:val="00850C9C"/>
    <w:rsid w:val="00860F9E"/>
    <w:rsid w:val="00922843"/>
    <w:rsid w:val="009665C3"/>
    <w:rsid w:val="009A01BB"/>
    <w:rsid w:val="009B1605"/>
    <w:rsid w:val="009C76A1"/>
    <w:rsid w:val="00B21CE9"/>
    <w:rsid w:val="00B22AFC"/>
    <w:rsid w:val="00C776CC"/>
    <w:rsid w:val="00CD4C0F"/>
    <w:rsid w:val="00DA7E15"/>
    <w:rsid w:val="00DD746F"/>
    <w:rsid w:val="00DD7A03"/>
    <w:rsid w:val="00E02EF5"/>
    <w:rsid w:val="00EA1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081E2"/>
  <w15:docId w15:val="{4A200153-F250-4D74-AC1E-1B754449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34D9D"/>
    <w:pPr>
      <w:tabs>
        <w:tab w:val="center" w:pos="4680"/>
        <w:tab w:val="right" w:pos="9360"/>
      </w:tabs>
      <w:spacing w:line="240" w:lineRule="auto"/>
    </w:pPr>
  </w:style>
  <w:style w:type="character" w:customStyle="1" w:styleId="HeaderChar">
    <w:name w:val="Header Char"/>
    <w:basedOn w:val="DefaultParagraphFont"/>
    <w:link w:val="Header"/>
    <w:uiPriority w:val="99"/>
    <w:rsid w:val="00434D9D"/>
  </w:style>
  <w:style w:type="paragraph" w:styleId="Footer">
    <w:name w:val="footer"/>
    <w:basedOn w:val="Normal"/>
    <w:link w:val="FooterChar"/>
    <w:uiPriority w:val="99"/>
    <w:unhideWhenUsed/>
    <w:rsid w:val="00434D9D"/>
    <w:pPr>
      <w:tabs>
        <w:tab w:val="center" w:pos="4680"/>
        <w:tab w:val="right" w:pos="9360"/>
      </w:tabs>
      <w:spacing w:line="240" w:lineRule="auto"/>
    </w:pPr>
  </w:style>
  <w:style w:type="character" w:customStyle="1" w:styleId="FooterChar">
    <w:name w:val="Footer Char"/>
    <w:basedOn w:val="DefaultParagraphFont"/>
    <w:link w:val="Footer"/>
    <w:uiPriority w:val="99"/>
    <w:rsid w:val="00434D9D"/>
  </w:style>
  <w:style w:type="paragraph" w:styleId="BalloonText">
    <w:name w:val="Balloon Text"/>
    <w:basedOn w:val="Normal"/>
    <w:link w:val="BalloonTextChar"/>
    <w:uiPriority w:val="99"/>
    <w:semiHidden/>
    <w:unhideWhenUsed/>
    <w:rsid w:val="00B21C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CE9"/>
    <w:rPr>
      <w:rFonts w:ascii="Segoe UI" w:hAnsi="Segoe UI" w:cs="Segoe UI"/>
      <w:sz w:val="18"/>
      <w:szCs w:val="18"/>
    </w:rPr>
  </w:style>
  <w:style w:type="character" w:styleId="CommentReference">
    <w:name w:val="annotation reference"/>
    <w:basedOn w:val="DefaultParagraphFont"/>
    <w:uiPriority w:val="99"/>
    <w:semiHidden/>
    <w:unhideWhenUsed/>
    <w:rsid w:val="007B7CE9"/>
    <w:rPr>
      <w:sz w:val="16"/>
      <w:szCs w:val="16"/>
    </w:rPr>
  </w:style>
  <w:style w:type="paragraph" w:styleId="CommentText">
    <w:name w:val="annotation text"/>
    <w:basedOn w:val="Normal"/>
    <w:link w:val="CommentTextChar"/>
    <w:uiPriority w:val="99"/>
    <w:semiHidden/>
    <w:unhideWhenUsed/>
    <w:rsid w:val="007B7CE9"/>
    <w:pPr>
      <w:spacing w:line="240" w:lineRule="auto"/>
    </w:pPr>
    <w:rPr>
      <w:sz w:val="20"/>
      <w:szCs w:val="20"/>
    </w:rPr>
  </w:style>
  <w:style w:type="character" w:customStyle="1" w:styleId="CommentTextChar">
    <w:name w:val="Comment Text Char"/>
    <w:basedOn w:val="DefaultParagraphFont"/>
    <w:link w:val="CommentText"/>
    <w:uiPriority w:val="99"/>
    <w:semiHidden/>
    <w:rsid w:val="007B7CE9"/>
    <w:rPr>
      <w:sz w:val="20"/>
      <w:szCs w:val="20"/>
    </w:rPr>
  </w:style>
  <w:style w:type="paragraph" w:styleId="CommentSubject">
    <w:name w:val="annotation subject"/>
    <w:basedOn w:val="CommentText"/>
    <w:next w:val="CommentText"/>
    <w:link w:val="CommentSubjectChar"/>
    <w:uiPriority w:val="99"/>
    <w:semiHidden/>
    <w:unhideWhenUsed/>
    <w:rsid w:val="007B7CE9"/>
    <w:rPr>
      <w:b/>
      <w:bCs/>
    </w:rPr>
  </w:style>
  <w:style w:type="character" w:customStyle="1" w:styleId="CommentSubjectChar">
    <w:name w:val="Comment Subject Char"/>
    <w:basedOn w:val="CommentTextChar"/>
    <w:link w:val="CommentSubject"/>
    <w:uiPriority w:val="99"/>
    <w:semiHidden/>
    <w:rsid w:val="007B7C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358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1673</Words>
  <Characters>8741</Characters>
  <Application>Microsoft Office Word</Application>
  <DocSecurity>0</DocSecurity>
  <PresentationFormat/>
  <Lines>142</Lines>
  <Paragraphs>23</Paragraphs>
  <ScaleCrop>false</ScaleCrop>
  <HeadingPairs>
    <vt:vector size="2" baseType="variant">
      <vt:variant>
        <vt:lpstr>Title</vt:lpstr>
      </vt:variant>
      <vt:variant>
        <vt:i4>1</vt:i4>
      </vt:variant>
    </vt:vector>
  </HeadingPairs>
  <TitlesOfParts>
    <vt:vector size="1" baseType="lpstr">
      <vt:lpstr>DLC Testimony in Opposition to SB 220 (00349283-8).DOCX</vt:lpstr>
    </vt:vector>
  </TitlesOfParts>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DLC Testimony in Opposition to SB 220  (00349283.DOCX;8)</dc:title>
  <cp:lastModifiedBy>Mark Abramowitz</cp:lastModifiedBy>
  <cp:revision>30</cp:revision>
  <cp:lastPrinted>2018-06-25T20:43:00Z</cp:lastPrinted>
  <dcterms:created xsi:type="dcterms:W3CDTF">2018-05-08T15:23:00Z</dcterms:created>
  <dcterms:modified xsi:type="dcterms:W3CDTF">2018-06-25T20:43:00Z</dcterms:modified>
</cp:coreProperties>
</file>